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455.68</w:t>
            </w:r>
          </w:p>
        </w:tc>
        <w:tc>
          <w:tcPr>
            <w:tcW w:w="4535" w:type="dxa"/>
            <w:vAlign w:val="center"/>
          </w:tcPr>
          <w:p>
            <w:pPr>
              <w:pStyle w:val="13"/>
            </w:pPr>
            <w:r>
              <w:t>一、一般公共服务支出</w:t>
            </w:r>
          </w:p>
        </w:tc>
        <w:tc>
          <w:tcPr>
            <w:tcW w:w="2126" w:type="dxa"/>
            <w:vAlign w:val="center"/>
          </w:tcPr>
          <w:p>
            <w:pPr>
              <w:pStyle w:val="12"/>
            </w:pPr>
            <w:r>
              <w:t>455.68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455.68</w:t>
            </w:r>
          </w:p>
        </w:tc>
        <w:tc>
          <w:tcPr>
            <w:tcW w:w="4535" w:type="dxa"/>
            <w:vAlign w:val="center"/>
          </w:tcPr>
          <w:p>
            <w:pPr>
              <w:pStyle w:val="15"/>
            </w:pPr>
            <w:r>
              <w:t>本年支出合计</w:t>
            </w:r>
          </w:p>
        </w:tc>
        <w:tc>
          <w:tcPr>
            <w:tcW w:w="2126" w:type="dxa"/>
            <w:vAlign w:val="center"/>
          </w:tcPr>
          <w:p>
            <w:pPr>
              <w:pStyle w:val="16"/>
            </w:pPr>
            <w:r>
              <w:t>455.68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455.68</w:t>
            </w:r>
          </w:p>
        </w:tc>
        <w:tc>
          <w:tcPr>
            <w:tcW w:w="4535" w:type="dxa"/>
            <w:vAlign w:val="center"/>
          </w:tcPr>
          <w:p>
            <w:pPr>
              <w:pStyle w:val="15"/>
            </w:pPr>
            <w:r>
              <w:t>支出总计</w:t>
            </w:r>
          </w:p>
        </w:tc>
        <w:tc>
          <w:tcPr>
            <w:tcW w:w="2126" w:type="dxa"/>
            <w:vAlign w:val="center"/>
          </w:tcPr>
          <w:p>
            <w:pPr>
              <w:pStyle w:val="16"/>
            </w:pPr>
            <w:r>
              <w:t>455.68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455.68</w:t>
            </w:r>
          </w:p>
        </w:tc>
        <w:tc>
          <w:tcPr>
            <w:tcW w:w="1134" w:type="dxa"/>
            <w:vAlign w:val="center"/>
          </w:tcPr>
          <w:p>
            <w:pPr>
              <w:pStyle w:val="16"/>
            </w:pPr>
            <w:r>
              <w:t>455.68</w:t>
            </w:r>
          </w:p>
        </w:tc>
        <w:tc>
          <w:tcPr>
            <w:tcW w:w="1134" w:type="dxa"/>
            <w:vAlign w:val="center"/>
          </w:tcPr>
          <w:p>
            <w:pPr>
              <w:pStyle w:val="16"/>
            </w:pPr>
            <w:r>
              <w:t>455.68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455.68</w:t>
            </w:r>
          </w:p>
        </w:tc>
        <w:tc>
          <w:tcPr>
            <w:tcW w:w="1134" w:type="dxa"/>
            <w:vAlign w:val="center"/>
          </w:tcPr>
          <w:p>
            <w:pPr>
              <w:pStyle w:val="12"/>
            </w:pPr>
            <w:r>
              <w:t>455.68</w:t>
            </w:r>
          </w:p>
        </w:tc>
        <w:tc>
          <w:tcPr>
            <w:tcW w:w="1134" w:type="dxa"/>
            <w:vAlign w:val="center"/>
          </w:tcPr>
          <w:p>
            <w:pPr>
              <w:pStyle w:val="12"/>
            </w:pPr>
            <w:r>
              <w:t>455.68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455.68</w:t>
            </w:r>
          </w:p>
        </w:tc>
        <w:tc>
          <w:tcPr>
            <w:tcW w:w="1134" w:type="dxa"/>
            <w:vAlign w:val="center"/>
          </w:tcPr>
          <w:p>
            <w:pPr>
              <w:pStyle w:val="12"/>
            </w:pPr>
            <w:r>
              <w:t>455.68</w:t>
            </w:r>
          </w:p>
        </w:tc>
        <w:tc>
          <w:tcPr>
            <w:tcW w:w="1134" w:type="dxa"/>
            <w:vAlign w:val="center"/>
          </w:tcPr>
          <w:p>
            <w:pPr>
              <w:pStyle w:val="12"/>
            </w:pPr>
            <w:r>
              <w:t>455.68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347.68</w:t>
            </w:r>
          </w:p>
        </w:tc>
        <w:tc>
          <w:tcPr>
            <w:tcW w:w="1134" w:type="dxa"/>
            <w:vAlign w:val="center"/>
          </w:tcPr>
          <w:p>
            <w:pPr>
              <w:pStyle w:val="12"/>
            </w:pPr>
            <w:r>
              <w:t>347.68</w:t>
            </w:r>
          </w:p>
        </w:tc>
        <w:tc>
          <w:tcPr>
            <w:tcW w:w="1134" w:type="dxa"/>
            <w:vAlign w:val="center"/>
          </w:tcPr>
          <w:p>
            <w:pPr>
              <w:pStyle w:val="12"/>
            </w:pPr>
            <w:r>
              <w:t>347.68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2012804</w:t>
            </w:r>
          </w:p>
        </w:tc>
        <w:tc>
          <w:tcPr>
            <w:tcW w:w="1559" w:type="dxa"/>
            <w:vAlign w:val="center"/>
          </w:tcPr>
          <w:p>
            <w:pPr>
              <w:pStyle w:val="13"/>
            </w:pPr>
            <w:r>
              <w:t>参政议政</w:t>
            </w:r>
          </w:p>
        </w:tc>
        <w:tc>
          <w:tcPr>
            <w:tcW w:w="1134" w:type="dxa"/>
            <w:vAlign w:val="center"/>
          </w:tcPr>
          <w:p>
            <w:pPr>
              <w:pStyle w:val="12"/>
            </w:pPr>
            <w:r>
              <w:t>108.00</w:t>
            </w:r>
          </w:p>
        </w:tc>
        <w:tc>
          <w:tcPr>
            <w:tcW w:w="1134" w:type="dxa"/>
            <w:vAlign w:val="center"/>
          </w:tcPr>
          <w:p>
            <w:pPr>
              <w:pStyle w:val="12"/>
            </w:pPr>
            <w:r>
              <w:t>108.00</w:t>
            </w:r>
          </w:p>
        </w:tc>
        <w:tc>
          <w:tcPr>
            <w:tcW w:w="1134" w:type="dxa"/>
            <w:vAlign w:val="center"/>
          </w:tcPr>
          <w:p>
            <w:pPr>
              <w:pStyle w:val="12"/>
            </w:pPr>
            <w:r>
              <w:t>108.00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455.68</w:t>
            </w:r>
          </w:p>
        </w:tc>
        <w:tc>
          <w:tcPr>
            <w:tcW w:w="1361" w:type="dxa"/>
            <w:vAlign w:val="center"/>
          </w:tcPr>
          <w:p>
            <w:pPr>
              <w:pStyle w:val="16"/>
            </w:pPr>
            <w:r>
              <w:t>347.68</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455.68</w:t>
            </w:r>
          </w:p>
        </w:tc>
        <w:tc>
          <w:tcPr>
            <w:tcW w:w="1361" w:type="dxa"/>
            <w:vAlign w:val="center"/>
          </w:tcPr>
          <w:p>
            <w:pPr>
              <w:pStyle w:val="12"/>
            </w:pPr>
            <w:r>
              <w:t>347.68</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455.68</w:t>
            </w:r>
          </w:p>
        </w:tc>
        <w:tc>
          <w:tcPr>
            <w:tcW w:w="1361" w:type="dxa"/>
            <w:vAlign w:val="center"/>
          </w:tcPr>
          <w:p>
            <w:pPr>
              <w:pStyle w:val="12"/>
            </w:pPr>
            <w:r>
              <w:t>347.68</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347.68</w:t>
            </w:r>
          </w:p>
        </w:tc>
        <w:tc>
          <w:tcPr>
            <w:tcW w:w="1361" w:type="dxa"/>
            <w:vAlign w:val="center"/>
          </w:tcPr>
          <w:p>
            <w:pPr>
              <w:pStyle w:val="12"/>
            </w:pPr>
            <w:r>
              <w:t>347.68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2012804</w:t>
            </w:r>
          </w:p>
        </w:tc>
        <w:tc>
          <w:tcPr>
            <w:tcW w:w="4535" w:type="dxa"/>
            <w:vAlign w:val="center"/>
          </w:tcPr>
          <w:p>
            <w:pPr>
              <w:pStyle w:val="13"/>
            </w:pPr>
            <w:r>
              <w:t>参政议政</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455.68</w:t>
            </w:r>
          </w:p>
        </w:tc>
        <w:tc>
          <w:tcPr>
            <w:tcW w:w="3402" w:type="dxa"/>
            <w:vAlign w:val="center"/>
          </w:tcPr>
          <w:p>
            <w:pPr>
              <w:pStyle w:val="13"/>
            </w:pPr>
            <w:r>
              <w:t>一、一般公共服务支出</w:t>
            </w:r>
          </w:p>
        </w:tc>
        <w:tc>
          <w:tcPr>
            <w:tcW w:w="1474" w:type="dxa"/>
            <w:vAlign w:val="center"/>
          </w:tcPr>
          <w:p>
            <w:pPr>
              <w:pStyle w:val="12"/>
            </w:pPr>
            <w:r>
              <w:t>455.68</w:t>
            </w:r>
          </w:p>
        </w:tc>
        <w:tc>
          <w:tcPr>
            <w:tcW w:w="1474" w:type="dxa"/>
            <w:vAlign w:val="center"/>
          </w:tcPr>
          <w:p>
            <w:pPr>
              <w:pStyle w:val="12"/>
            </w:pPr>
            <w:r>
              <w:t>455.68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455.68</w:t>
            </w:r>
          </w:p>
        </w:tc>
        <w:tc>
          <w:tcPr>
            <w:tcW w:w="3402" w:type="dxa"/>
            <w:vAlign w:val="center"/>
          </w:tcPr>
          <w:p>
            <w:pPr>
              <w:pStyle w:val="15"/>
            </w:pPr>
            <w:r>
              <w:t>本年支出合计</w:t>
            </w:r>
          </w:p>
        </w:tc>
        <w:tc>
          <w:tcPr>
            <w:tcW w:w="1474" w:type="dxa"/>
            <w:vAlign w:val="center"/>
          </w:tcPr>
          <w:p>
            <w:pPr>
              <w:pStyle w:val="16"/>
            </w:pPr>
            <w:r>
              <w:t>455.68</w:t>
            </w:r>
          </w:p>
        </w:tc>
        <w:tc>
          <w:tcPr>
            <w:tcW w:w="1474" w:type="dxa"/>
            <w:vAlign w:val="center"/>
          </w:tcPr>
          <w:p>
            <w:pPr>
              <w:pStyle w:val="16"/>
            </w:pPr>
            <w:r>
              <w:t>455.68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455.68</w:t>
            </w:r>
          </w:p>
        </w:tc>
        <w:tc>
          <w:tcPr>
            <w:tcW w:w="3402" w:type="dxa"/>
            <w:vAlign w:val="center"/>
          </w:tcPr>
          <w:p>
            <w:pPr>
              <w:pStyle w:val="15"/>
            </w:pPr>
            <w:r>
              <w:t>支出总计</w:t>
            </w:r>
          </w:p>
        </w:tc>
        <w:tc>
          <w:tcPr>
            <w:tcW w:w="1474" w:type="dxa"/>
            <w:vAlign w:val="center"/>
          </w:tcPr>
          <w:p>
            <w:pPr>
              <w:pStyle w:val="16"/>
            </w:pPr>
            <w:r>
              <w:t>455.68</w:t>
            </w:r>
          </w:p>
        </w:tc>
        <w:tc>
          <w:tcPr>
            <w:tcW w:w="1474" w:type="dxa"/>
            <w:vAlign w:val="center"/>
          </w:tcPr>
          <w:p>
            <w:pPr>
              <w:pStyle w:val="16"/>
            </w:pPr>
            <w:r>
              <w:t>455.68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455.68</w:t>
            </w:r>
          </w:p>
        </w:tc>
        <w:tc>
          <w:tcPr>
            <w:tcW w:w="2551" w:type="dxa"/>
            <w:vAlign w:val="center"/>
          </w:tcPr>
          <w:p>
            <w:pPr>
              <w:pStyle w:val="16"/>
            </w:pPr>
            <w:r>
              <w:t>347.68</w:t>
            </w:r>
          </w:p>
        </w:tc>
        <w:tc>
          <w:tcPr>
            <w:tcW w:w="2551" w:type="dxa"/>
            <w:vAlign w:val="center"/>
          </w:tcPr>
          <w:p>
            <w:pPr>
              <w:pStyle w:val="16"/>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455.68</w:t>
            </w:r>
          </w:p>
        </w:tc>
        <w:tc>
          <w:tcPr>
            <w:tcW w:w="2551" w:type="dxa"/>
            <w:vAlign w:val="center"/>
          </w:tcPr>
          <w:p>
            <w:pPr>
              <w:pStyle w:val="12"/>
            </w:pPr>
            <w:r>
              <w:t>347.68</w:t>
            </w:r>
          </w:p>
        </w:tc>
        <w:tc>
          <w:tcPr>
            <w:tcW w:w="2551" w:type="dxa"/>
            <w:vAlign w:val="center"/>
          </w:tcPr>
          <w:p>
            <w:pPr>
              <w:pStyle w:val="12"/>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455.68</w:t>
            </w:r>
          </w:p>
        </w:tc>
        <w:tc>
          <w:tcPr>
            <w:tcW w:w="2551" w:type="dxa"/>
            <w:vAlign w:val="center"/>
          </w:tcPr>
          <w:p>
            <w:pPr>
              <w:pStyle w:val="12"/>
            </w:pPr>
            <w:r>
              <w:t>347.68</w:t>
            </w:r>
          </w:p>
        </w:tc>
        <w:tc>
          <w:tcPr>
            <w:tcW w:w="2551" w:type="dxa"/>
            <w:vAlign w:val="center"/>
          </w:tcPr>
          <w:p>
            <w:pPr>
              <w:pStyle w:val="12"/>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347.68</w:t>
            </w:r>
          </w:p>
        </w:tc>
        <w:tc>
          <w:tcPr>
            <w:tcW w:w="2551" w:type="dxa"/>
            <w:vAlign w:val="center"/>
          </w:tcPr>
          <w:p>
            <w:pPr>
              <w:pStyle w:val="12"/>
            </w:pPr>
            <w:r>
              <w:t>347.68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2012804</w:t>
            </w:r>
          </w:p>
        </w:tc>
        <w:tc>
          <w:tcPr>
            <w:tcW w:w="4535" w:type="dxa"/>
            <w:vAlign w:val="center"/>
          </w:tcPr>
          <w:p>
            <w:pPr>
              <w:pStyle w:val="13"/>
            </w:pPr>
            <w:r>
              <w:t>参政议政</w:t>
            </w:r>
          </w:p>
        </w:tc>
        <w:tc>
          <w:tcPr>
            <w:tcW w:w="2551" w:type="dxa"/>
            <w:vAlign w:val="center"/>
          </w:tcPr>
          <w:p>
            <w:pPr>
              <w:pStyle w:val="12"/>
            </w:pPr>
            <w:r>
              <w:t>108.00</w:t>
            </w:r>
          </w:p>
        </w:tc>
        <w:tc>
          <w:tcPr>
            <w:tcW w:w="2551" w:type="dxa"/>
            <w:vAlign w:val="center"/>
          </w:tcPr>
          <w:p>
            <w:pPr>
              <w:pStyle w:val="12"/>
            </w:pPr>
          </w:p>
        </w:tc>
        <w:tc>
          <w:tcPr>
            <w:tcW w:w="2551" w:type="dxa"/>
            <w:vAlign w:val="center"/>
          </w:tcPr>
          <w:p>
            <w:pPr>
              <w:pStyle w:val="12"/>
            </w:pPr>
            <w:r>
              <w:t>108.00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347.68</w:t>
            </w:r>
          </w:p>
        </w:tc>
        <w:tc>
          <w:tcPr>
            <w:tcW w:w="2551" w:type="dxa"/>
            <w:vAlign w:val="center"/>
          </w:tcPr>
          <w:p>
            <w:pPr>
              <w:pStyle w:val="16"/>
            </w:pPr>
            <w:r>
              <w:t>299.10</w:t>
            </w:r>
          </w:p>
        </w:tc>
        <w:tc>
          <w:tcPr>
            <w:tcW w:w="2551" w:type="dxa"/>
            <w:vAlign w:val="center"/>
          </w:tcPr>
          <w:p>
            <w:pPr>
              <w:pStyle w:val="16"/>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241.13</w:t>
            </w:r>
          </w:p>
        </w:tc>
        <w:tc>
          <w:tcPr>
            <w:tcW w:w="2551" w:type="dxa"/>
            <w:vAlign w:val="center"/>
          </w:tcPr>
          <w:p>
            <w:pPr>
              <w:pStyle w:val="12"/>
            </w:pPr>
            <w:r>
              <w:t>241.13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72.83</w:t>
            </w:r>
          </w:p>
        </w:tc>
        <w:tc>
          <w:tcPr>
            <w:tcW w:w="2551" w:type="dxa"/>
            <w:vAlign w:val="center"/>
          </w:tcPr>
          <w:p>
            <w:pPr>
              <w:pStyle w:val="12"/>
            </w:pPr>
            <w:r>
              <w:t>72.83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50.29</w:t>
            </w:r>
          </w:p>
        </w:tc>
        <w:tc>
          <w:tcPr>
            <w:tcW w:w="2551" w:type="dxa"/>
            <w:vAlign w:val="center"/>
          </w:tcPr>
          <w:p>
            <w:pPr>
              <w:pStyle w:val="12"/>
            </w:pPr>
            <w:r>
              <w:t>50.29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52.71</w:t>
            </w:r>
          </w:p>
        </w:tc>
        <w:tc>
          <w:tcPr>
            <w:tcW w:w="2551" w:type="dxa"/>
            <w:vAlign w:val="center"/>
          </w:tcPr>
          <w:p>
            <w:pPr>
              <w:pStyle w:val="12"/>
            </w:pPr>
            <w:r>
              <w:t>52.71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23.31</w:t>
            </w:r>
          </w:p>
        </w:tc>
        <w:tc>
          <w:tcPr>
            <w:tcW w:w="2551" w:type="dxa"/>
            <w:vAlign w:val="center"/>
          </w:tcPr>
          <w:p>
            <w:pPr>
              <w:pStyle w:val="12"/>
            </w:pPr>
            <w:r>
              <w:t>23.31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8.95</w:t>
            </w:r>
          </w:p>
        </w:tc>
        <w:tc>
          <w:tcPr>
            <w:tcW w:w="2551" w:type="dxa"/>
            <w:vAlign w:val="center"/>
          </w:tcPr>
          <w:p>
            <w:pPr>
              <w:pStyle w:val="12"/>
            </w:pPr>
            <w:r>
              <w:t>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13.19</w:t>
            </w:r>
          </w:p>
        </w:tc>
        <w:tc>
          <w:tcPr>
            <w:tcW w:w="2551" w:type="dxa"/>
            <w:vAlign w:val="center"/>
          </w:tcPr>
          <w:p>
            <w:pPr>
              <w:pStyle w:val="12"/>
            </w:pPr>
            <w:r>
              <w:t>13.19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0.57</w:t>
            </w:r>
          </w:p>
        </w:tc>
        <w:tc>
          <w:tcPr>
            <w:tcW w:w="2551" w:type="dxa"/>
            <w:vAlign w:val="center"/>
          </w:tcPr>
          <w:p>
            <w:pPr>
              <w:pStyle w:val="12"/>
            </w:pPr>
            <w:r>
              <w:t>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19.28</w:t>
            </w:r>
          </w:p>
        </w:tc>
        <w:tc>
          <w:tcPr>
            <w:tcW w:w="2551" w:type="dxa"/>
            <w:vAlign w:val="center"/>
          </w:tcPr>
          <w:p>
            <w:pPr>
              <w:pStyle w:val="12"/>
            </w:pPr>
            <w:r>
              <w:t>19.28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48.58</w:t>
            </w:r>
          </w:p>
        </w:tc>
        <w:tc>
          <w:tcPr>
            <w:tcW w:w="2551" w:type="dxa"/>
            <w:vAlign w:val="center"/>
          </w:tcPr>
          <w:p>
            <w:pPr>
              <w:pStyle w:val="12"/>
            </w:pPr>
          </w:p>
        </w:tc>
        <w:tc>
          <w:tcPr>
            <w:tcW w:w="2551"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2.78</w:t>
            </w:r>
          </w:p>
        </w:tc>
        <w:tc>
          <w:tcPr>
            <w:tcW w:w="2551" w:type="dxa"/>
            <w:vAlign w:val="center"/>
          </w:tcPr>
          <w:p>
            <w:pPr>
              <w:pStyle w:val="12"/>
            </w:pPr>
          </w:p>
        </w:tc>
        <w:tc>
          <w:tcPr>
            <w:tcW w:w="2551" w:type="dxa"/>
            <w:vAlign w:val="center"/>
          </w:tcPr>
          <w:p>
            <w:pPr>
              <w:pStyle w:val="12"/>
            </w:pPr>
            <w:r>
              <w:t>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0.39</w:t>
            </w:r>
          </w:p>
        </w:tc>
        <w:tc>
          <w:tcPr>
            <w:tcW w:w="2551" w:type="dxa"/>
            <w:vAlign w:val="center"/>
          </w:tcPr>
          <w:p>
            <w:pPr>
              <w:pStyle w:val="12"/>
            </w:pPr>
          </w:p>
        </w:tc>
        <w:tc>
          <w:tcPr>
            <w:tcW w:w="2551" w:type="dxa"/>
            <w:vAlign w:val="center"/>
          </w:tcPr>
          <w:p>
            <w:pPr>
              <w:pStyle w:val="12"/>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0.88</w:t>
            </w:r>
          </w:p>
        </w:tc>
        <w:tc>
          <w:tcPr>
            <w:tcW w:w="2551" w:type="dxa"/>
            <w:vAlign w:val="center"/>
          </w:tcPr>
          <w:p>
            <w:pPr>
              <w:pStyle w:val="12"/>
            </w:pPr>
          </w:p>
        </w:tc>
        <w:tc>
          <w:tcPr>
            <w:tcW w:w="2551" w:type="dxa"/>
            <w:vAlign w:val="center"/>
          </w:tcPr>
          <w:p>
            <w:pPr>
              <w:pStyle w:val="12"/>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7.57</w:t>
            </w:r>
          </w:p>
        </w:tc>
        <w:tc>
          <w:tcPr>
            <w:tcW w:w="2551" w:type="dxa"/>
            <w:vAlign w:val="center"/>
          </w:tcPr>
          <w:p>
            <w:pPr>
              <w:pStyle w:val="12"/>
            </w:pPr>
          </w:p>
        </w:tc>
        <w:tc>
          <w:tcPr>
            <w:tcW w:w="2551" w:type="dxa"/>
            <w:vAlign w:val="center"/>
          </w:tcPr>
          <w:p>
            <w:pPr>
              <w:pStyle w:val="12"/>
            </w:pPr>
            <w:r>
              <w:t>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1.54</w:t>
            </w:r>
          </w:p>
        </w:tc>
        <w:tc>
          <w:tcPr>
            <w:tcW w:w="2551" w:type="dxa"/>
            <w:vAlign w:val="center"/>
          </w:tcPr>
          <w:p>
            <w:pPr>
              <w:pStyle w:val="12"/>
            </w:pPr>
          </w:p>
        </w:tc>
        <w:tc>
          <w:tcPr>
            <w:tcW w:w="2551" w:type="dxa"/>
            <w:vAlign w:val="center"/>
          </w:tcPr>
          <w:p>
            <w:pPr>
              <w:pStyle w:val="12"/>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2.36</w:t>
            </w:r>
          </w:p>
        </w:tc>
        <w:tc>
          <w:tcPr>
            <w:tcW w:w="2551" w:type="dxa"/>
            <w:vAlign w:val="center"/>
          </w:tcPr>
          <w:p>
            <w:pPr>
              <w:pStyle w:val="12"/>
            </w:pPr>
          </w:p>
        </w:tc>
        <w:tc>
          <w:tcPr>
            <w:tcW w:w="2551" w:type="dxa"/>
            <w:vAlign w:val="center"/>
          </w:tcPr>
          <w:p>
            <w:pPr>
              <w:pStyle w:val="12"/>
            </w:pPr>
            <w:r>
              <w:t>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0.37</w:t>
            </w:r>
          </w:p>
        </w:tc>
        <w:tc>
          <w:tcPr>
            <w:tcW w:w="2551" w:type="dxa"/>
            <w:vAlign w:val="center"/>
          </w:tcPr>
          <w:p>
            <w:pPr>
              <w:pStyle w:val="12"/>
            </w:pPr>
          </w:p>
        </w:tc>
        <w:tc>
          <w:tcPr>
            <w:tcW w:w="2551" w:type="dxa"/>
            <w:vAlign w:val="center"/>
          </w:tcPr>
          <w:p>
            <w:pPr>
              <w:pStyle w:val="12"/>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1.37</w:t>
            </w:r>
          </w:p>
        </w:tc>
        <w:tc>
          <w:tcPr>
            <w:tcW w:w="2551" w:type="dxa"/>
            <w:vAlign w:val="center"/>
          </w:tcPr>
          <w:p>
            <w:pPr>
              <w:pStyle w:val="12"/>
            </w:pPr>
          </w:p>
        </w:tc>
        <w:tc>
          <w:tcPr>
            <w:tcW w:w="2551" w:type="dxa"/>
            <w:vAlign w:val="center"/>
          </w:tcPr>
          <w:p>
            <w:pPr>
              <w:pStyle w:val="12"/>
            </w:pPr>
            <w:r>
              <w:t>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1.58</w:t>
            </w:r>
          </w:p>
        </w:tc>
        <w:tc>
          <w:tcPr>
            <w:tcW w:w="2551" w:type="dxa"/>
            <w:vAlign w:val="center"/>
          </w:tcPr>
          <w:p>
            <w:pPr>
              <w:pStyle w:val="12"/>
            </w:pPr>
          </w:p>
        </w:tc>
        <w:tc>
          <w:tcPr>
            <w:tcW w:w="2551" w:type="dxa"/>
            <w:vAlign w:val="center"/>
          </w:tcPr>
          <w:p>
            <w:pPr>
              <w:pStyle w:val="12"/>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9.68</w:t>
            </w:r>
          </w:p>
        </w:tc>
        <w:tc>
          <w:tcPr>
            <w:tcW w:w="2551" w:type="dxa"/>
            <w:vAlign w:val="center"/>
          </w:tcPr>
          <w:p>
            <w:pPr>
              <w:pStyle w:val="12"/>
            </w:pPr>
          </w:p>
        </w:tc>
        <w:tc>
          <w:tcPr>
            <w:tcW w:w="2551" w:type="dxa"/>
            <w:vAlign w:val="center"/>
          </w:tcPr>
          <w:p>
            <w:pPr>
              <w:pStyle w:val="12"/>
            </w:pPr>
            <w:r>
              <w:t>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7.96</w:t>
            </w:r>
          </w:p>
        </w:tc>
        <w:tc>
          <w:tcPr>
            <w:tcW w:w="2551" w:type="dxa"/>
            <w:vAlign w:val="center"/>
          </w:tcPr>
          <w:p>
            <w:pPr>
              <w:pStyle w:val="12"/>
            </w:pPr>
          </w:p>
        </w:tc>
        <w:tc>
          <w:tcPr>
            <w:tcW w:w="2551" w:type="dxa"/>
            <w:vAlign w:val="center"/>
          </w:tcPr>
          <w:p>
            <w:pPr>
              <w:pStyle w:val="12"/>
            </w:pPr>
            <w:r>
              <w:t>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57.97</w:t>
            </w:r>
          </w:p>
        </w:tc>
        <w:tc>
          <w:tcPr>
            <w:tcW w:w="2551" w:type="dxa"/>
            <w:vAlign w:val="center"/>
          </w:tcPr>
          <w:p>
            <w:pPr>
              <w:pStyle w:val="12"/>
            </w:pPr>
            <w:r>
              <w:t>57.97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1.32</w:t>
            </w:r>
          </w:p>
        </w:tc>
        <w:tc>
          <w:tcPr>
            <w:tcW w:w="2551" w:type="dxa"/>
            <w:vAlign w:val="center"/>
          </w:tcPr>
          <w:p>
            <w:pPr>
              <w:pStyle w:val="12"/>
            </w:pPr>
            <w:r>
              <w:t>1.32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56.63</w:t>
            </w:r>
          </w:p>
        </w:tc>
        <w:tc>
          <w:tcPr>
            <w:tcW w:w="2551" w:type="dxa"/>
            <w:vAlign w:val="center"/>
          </w:tcPr>
          <w:p>
            <w:pPr>
              <w:pStyle w:val="12"/>
            </w:pPr>
            <w:r>
              <w:t>56.63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10.05</w:t>
            </w:r>
          </w:p>
        </w:tc>
        <w:tc>
          <w:tcPr>
            <w:tcW w:w="2381" w:type="dxa"/>
            <w:vAlign w:val="center"/>
          </w:tcPr>
          <w:p>
            <w:pPr>
              <w:pStyle w:val="16"/>
            </w:pPr>
            <w:r>
              <w:t>10.05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10.05</w:t>
            </w:r>
          </w:p>
        </w:tc>
        <w:tc>
          <w:tcPr>
            <w:tcW w:w="2381" w:type="dxa"/>
            <w:vAlign w:val="center"/>
          </w:tcPr>
          <w:p>
            <w:pPr>
              <w:pStyle w:val="12"/>
            </w:pPr>
            <w:r>
              <w:t>10.05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9.68</w:t>
            </w:r>
          </w:p>
        </w:tc>
        <w:tc>
          <w:tcPr>
            <w:tcW w:w="2381" w:type="dxa"/>
            <w:vAlign w:val="center"/>
          </w:tcPr>
          <w:p>
            <w:pPr>
              <w:pStyle w:val="12"/>
            </w:pPr>
            <w:r>
              <w:t>9.68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9.68</w:t>
            </w:r>
          </w:p>
        </w:tc>
        <w:tc>
          <w:tcPr>
            <w:tcW w:w="2381" w:type="dxa"/>
            <w:vAlign w:val="center"/>
          </w:tcPr>
          <w:p>
            <w:pPr>
              <w:pStyle w:val="12"/>
            </w:pPr>
            <w:r>
              <w:t>9.68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0.37</w:t>
            </w:r>
          </w:p>
        </w:tc>
        <w:tc>
          <w:tcPr>
            <w:tcW w:w="2381" w:type="dxa"/>
            <w:vAlign w:val="center"/>
          </w:tcPr>
          <w:p>
            <w:pPr>
              <w:pStyle w:val="12"/>
            </w:pPr>
            <w:r>
              <w:t>0.37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中国农工民主党沧州市委员会2025年部门预算信息公开情况说明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中国农工民主党沧州市委员会2025年部门预算信息公开情况说明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按照《中华人民共和国预算法》、《地方预决算公开操作规程》和《关于进一步推进预算公开工作的实施意见》规定，现将中国农工民主党沧州市委员会2025年部门预算公开如下：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中国农工民主党沧州市委员会的主要职责</w:t>
      </w:r>
    </w:p>
    <w:p>
      <w:pPr>
        <w:pStyle w:val="18"/>
      </w:pPr>
      <w:r>
        <w:t>中国农工民主党沧州市委员会包含四个民主党派，其中有：民革沧州市委员会、民盟沧州市委员会、农工党沧州市委员会、九三学社沧州市委员会。</w:t>
      </w:r>
    </w:p>
    <w:p>
      <w:pPr>
        <w:pStyle w:val="18"/>
      </w:pPr>
      <w:r>
        <w:t xml:space="preserve">（一）民革沧州市委员会的主要职责  </w:t>
      </w:r>
    </w:p>
    <w:p>
      <w:pPr>
        <w:pStyle w:val="18"/>
      </w:pPr>
      <w:r>
        <w:t>民革沧州市委员会下设办公室。</w:t>
      </w:r>
    </w:p>
    <w:p>
      <w:pPr>
        <w:pStyle w:val="18"/>
      </w:pPr>
      <w: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18"/>
      </w:pPr>
      <w:r>
        <w:t>（二）民盟沧州市委员会的主要职责</w:t>
      </w:r>
    </w:p>
    <w:p>
      <w:pPr>
        <w:pStyle w:val="18"/>
      </w:pPr>
      <w:r>
        <w:t>民盟沧州市委员会下设办公室。</w:t>
      </w:r>
    </w:p>
    <w:p>
      <w:pPr>
        <w:pStyle w:val="18"/>
      </w:pPr>
      <w: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18"/>
      </w:pPr>
      <w:r>
        <w:t>（三）农工党沧州市委员会的主要职责</w:t>
      </w:r>
    </w:p>
    <w:p>
      <w:pPr>
        <w:pStyle w:val="18"/>
      </w:pPr>
      <w:r>
        <w:t>农工党沧州市委员会下设办公室。</w:t>
      </w:r>
    </w:p>
    <w:p>
      <w:pPr>
        <w:pStyle w:val="18"/>
      </w:pPr>
      <w:r>
        <w:t>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18"/>
      </w:pPr>
      <w:r>
        <w:t>（四）九三学社沧州市委员会的主要职责</w:t>
      </w:r>
    </w:p>
    <w:p>
      <w:pPr>
        <w:pStyle w:val="18"/>
      </w:pPr>
      <w:r>
        <w:t>九三学社沧州市委员会下设办公室。</w:t>
      </w:r>
    </w:p>
    <w:p>
      <w:pPr>
        <w:pStyle w:val="18"/>
      </w:pPr>
      <w:r>
        <w:t>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中国农工民主党沧州市委员会本级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民革沧州市委</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民盟沧州市委</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农工党沧州市委</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九三学社沧州市委</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按照预算管理有关规定，目前部门预算的编制实行综合预算管理，即全部收入和支出都反映在预算中。中国农工民主党沧州市委员会机关及所属事业单位的收支包含在部门预算中。</w:t>
      </w:r>
    </w:p>
    <w:p>
      <w:pPr>
        <w:pStyle w:val="19"/>
      </w:pPr>
      <w:r>
        <w:t>1、收入说明</w:t>
      </w:r>
    </w:p>
    <w:p>
      <w:pPr>
        <w:pStyle w:val="19"/>
      </w:pPr>
      <w:r>
        <w:t>反映本部门当年全部收入。2025年预算收入455.68万元，其中：一般公共预算收入455.68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农工民主党沧州市委员会年度部门预算中支出预算的总体情况。2025年支出预算455.68万元，其中基本支出347.68万元，包括人员经费299.10万元和日常公用经费48.58万元；项目支出108.00万元，主要为九三学社参政议政专项经费27万元、民革参政议政专项经费27万元、民盟参政议政专项经费27万元、农工党参政议政专项经费27万元。</w:t>
      </w:r>
    </w:p>
    <w:p>
      <w:pPr>
        <w:pStyle w:val="19"/>
      </w:pPr>
      <w:r>
        <w:t>3、比上年增减情况</w:t>
      </w:r>
    </w:p>
    <w:p>
      <w:pPr>
        <w:pStyle w:val="19"/>
      </w:pPr>
      <w:r>
        <w:t>2025年预算收支安排455.68万元，较2024年预算减少20.56万元，其中：基本支出减少20.56万元，主要为减少人员经费支出13.05万元，减少公用经费支出7.51万元；项目支出与上年保持一致。项目支出增加0.00万元，主要为九三学社参政议政专项经费27万元、民革参政议政专项经费27万元、民盟参政议政专项经费27万元、农工党参政议政专项经费27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2025年，我部门机关运行经费共计安排48.58万元，主要用于日常维修、办公用房水电费、办公用房取暖费、办公用房物业管理费等日常运行支出。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10.05万元，其中因公出国（境）费0.00万元；公务用车购置及运维费9.68万元（其中：公务用车购置费为0.00万元，公务用车运维费9.68万元)；公务接待费0.37万元。与2024年相比增加0.00万元，增减变化的主要原因是与2024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是我市深入学习贯彻落实中共党的精神，加快建设创新驱动经济强市，建设美丽宜居新沧州的重要一年。我市各民主党派将以新时代中国特色社会主义理论为指导，在中共沧州市委领导下，围绕中心，服务大局，履行职责，积极助力推进沧州各项经济社会健康快速发展，为本市经济发展、改革开放、社会进步贡献我们新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一、职责：民革事务。</w:t>
      </w:r>
    </w:p>
    <w:p>
      <w:pPr>
        <w:pStyle w:val="23"/>
      </w:pPr>
      <w:r>
        <w:t>内容描述：参政议政和经济联络等事项。贯彻民革中央组织建设工作方针，指导全市各级组织的建设，维护会员合法权益等工作。 1、参政议政：组织开展调研，向市政协提交大会发言和集体提案，反映社情民意，与市政府对口单位紧密联系。2、经济联络：开展扶贫支边、办学服务，协调安排赴台考察，联络、接待台商、台资企业调研，为经济建设服务。3、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完成参政议政、经济联络与社会服务等事项。完成民革中央组织建设工作方针，指导全市各级组织的建设，维护会员合法权益等工作。对党内重大活动和典型人物进行宣传。1、提升参政议政水平，为国家治理和社会发展建言献策。2、打造社会服务品牌，致力边远地区脱贫致富，推进新农村建设和社会发展；增进经济交流，为全市经济建设、社会发展服务。3、建设参政议政队伍，促进参政议政工作制度化、规范化和程序化，调动基层组织和广大党员的积极性，增强组织凝聚力。对党内重大活动和典型人物进行宣传。</w:t>
      </w:r>
    </w:p>
    <w:p>
      <w:pPr>
        <w:pStyle w:val="23"/>
      </w:pPr>
      <w:r>
        <w:t>二、职责：民盟事务。</w:t>
      </w:r>
    </w:p>
    <w:p>
      <w:pPr>
        <w:pStyle w:val="23"/>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参政议政和社会服务等事项。贯彻民盟中央组织建设工作方针，指导全市各级组织的建设，维护盟员合法权益等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rPr>
          <w:rFonts w:hint="eastAsia"/>
          <w:lang w:eastAsia="zh-CN"/>
        </w:rPr>
        <w:t>三</w:t>
      </w:r>
      <w:r>
        <w:t>、职责：农工党事务。</w:t>
      </w:r>
    </w:p>
    <w:p>
      <w:pPr>
        <w:pStyle w:val="23"/>
      </w:pPr>
      <w:r>
        <w:t>内容描述：参政议政、组织建设及宣传教育、社会服务等事项。贯彻农工党中央组织建设工作方针，指导全市各级组织的建设，维护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贯彻农工党中央组织建设工作方针，指导全市各级组织的建设，维护党员合法权益，开展政治理论和时事政策的学习教育活动，组织换届、后备干部培养和干部培训、基层建设工作，对党内重大活动和典型人物进行宣传。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rPr>
          <w:rFonts w:hint="eastAsia"/>
          <w:lang w:eastAsia="zh-CN"/>
        </w:rPr>
        <w:t>四</w:t>
      </w:r>
      <w:bookmarkStart w:id="20" w:name="_GoBack"/>
      <w:bookmarkEnd w:id="20"/>
      <w:r>
        <w:t>、职责：九三学社事务。</w:t>
      </w:r>
    </w:p>
    <w:p>
      <w:pPr>
        <w:pStyle w:val="23"/>
      </w:pPr>
      <w:r>
        <w:t>内容描述：九三学社事务。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贯彻社中央组织建设工作方针，指导全省各级组织的建设，维护社员合法权益，开展政治理论和时事政策的学习教育活动，组织换届、后备干部培养和干部培训、基层建设工作，对重大社务活动和典型人物进行宣传。搞好科技咨询服务，为成员及社外有关人士参加的科技开发做好联络、组织协调工作；负责组织开展为老少边贫地区脱贫致富服务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组织开展调研向市政协全会提交大会发言和集体提案，反映社情民意，与市政府对口单位紧密联系。搞好社会服务工作，为成员及有关人士参建的社会服务工作做好联系、组织协调工作；负责组织开展为老少边贫地区脱贫致富的服务工作。贯彻中共中央组织建设工作方针，指导全市各级组织的建设，维护成员合法权益。组织换届、后备干部培养和干部培训、基层建设工作。学习贯彻中共中央方针政策开展政治理论和时事政策的学习教育活动，维护好网站建设，对重大活动和典型人物进行宣传。</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1、九三学社参政议政经费绩效目标表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13090025P00014410002R</w:t>
            </w:r>
          </w:p>
        </w:tc>
        <w:tc>
          <w:tcPr>
            <w:tcW w:w="2835" w:type="dxa"/>
            <w:vAlign w:val="center"/>
          </w:tcPr>
          <w:p>
            <w:pPr>
              <w:pStyle w:val="11"/>
            </w:pPr>
            <w:r>
              <w:t>项目名称</w:t>
            </w:r>
          </w:p>
        </w:tc>
        <w:tc>
          <w:tcPr>
            <w:tcW w:w="6095" w:type="dxa"/>
            <w:gridSpan w:val="3"/>
            <w:vAlign w:val="center"/>
          </w:tcPr>
          <w:p>
            <w:pPr>
              <w:pStyle w:val="13"/>
            </w:pPr>
            <w:r>
              <w:t>九三学社参政议政经费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增强九三学社组织的凝聚力和参政议政能力，发挥民主党派作用，积极参政议政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开展各类活动次数</w:t>
            </w:r>
          </w:p>
        </w:tc>
        <w:tc>
          <w:tcPr>
            <w:tcW w:w="5386" w:type="dxa"/>
            <w:vAlign w:val="center"/>
          </w:tcPr>
          <w:p>
            <w:pPr>
              <w:pStyle w:val="13"/>
            </w:pPr>
            <w:r>
              <w:t>年度内开展社会服务活动、党员学习培训</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本职工作</w:t>
            </w:r>
          </w:p>
        </w:tc>
        <w:tc>
          <w:tcPr>
            <w:tcW w:w="5386" w:type="dxa"/>
            <w:vAlign w:val="center"/>
          </w:tcPr>
          <w:p>
            <w:pPr>
              <w:pStyle w:val="13"/>
            </w:pPr>
            <w:r>
              <w:t>高效开展本职工作，保证机关事务正常运转</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及时完成各项工作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履行社会责任</w:t>
            </w:r>
          </w:p>
        </w:tc>
        <w:tc>
          <w:tcPr>
            <w:tcW w:w="5386" w:type="dxa"/>
            <w:vAlign w:val="center"/>
          </w:tcPr>
          <w:p>
            <w:pPr>
              <w:pStyle w:val="13"/>
            </w:pPr>
            <w:r>
              <w:t>推进社会服务工作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2、民革参政议政经费绩效目标表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13090025P000146100025</w:t>
            </w:r>
          </w:p>
        </w:tc>
        <w:tc>
          <w:tcPr>
            <w:tcW w:w="2835" w:type="dxa"/>
            <w:vAlign w:val="center"/>
          </w:tcPr>
          <w:p>
            <w:pPr>
              <w:pStyle w:val="11"/>
            </w:pPr>
            <w:r>
              <w:t>项目名称</w:t>
            </w:r>
          </w:p>
        </w:tc>
        <w:tc>
          <w:tcPr>
            <w:tcW w:w="6095" w:type="dxa"/>
            <w:gridSpan w:val="3"/>
            <w:vAlign w:val="center"/>
          </w:tcPr>
          <w:p>
            <w:pPr>
              <w:pStyle w:val="13"/>
            </w:pPr>
            <w:r>
              <w:t>民革参政议政经费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增强民革组织的凝聚力和参政议政能力，发挥民主党派作用，积极参政议政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1.加强思想建设，提高宣传工作质量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5386" w:type="dxa"/>
            <w:vAlign w:val="center"/>
          </w:tcPr>
          <w:p>
            <w:pPr>
              <w:pStyle w:val="13"/>
            </w:pPr>
            <w:r>
              <w:t>组织主题宣传活动场次</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设施设备正常运转率</w:t>
            </w:r>
          </w:p>
        </w:tc>
        <w:tc>
          <w:tcPr>
            <w:tcW w:w="5386" w:type="dxa"/>
            <w:vAlign w:val="center"/>
          </w:tcPr>
          <w:p>
            <w:pPr>
              <w:pStyle w:val="13"/>
            </w:pPr>
            <w:r>
              <w:t>设施设备正常运转率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参政议政工作成本</w:t>
            </w:r>
          </w:p>
        </w:tc>
        <w:tc>
          <w:tcPr>
            <w:tcW w:w="5386" w:type="dxa"/>
            <w:vAlign w:val="center"/>
          </w:tcPr>
          <w:p>
            <w:pPr>
              <w:pStyle w:val="13"/>
            </w:pPr>
            <w:r>
              <w:t>参政议政工作成本</w:t>
            </w:r>
          </w:p>
        </w:tc>
        <w:tc>
          <w:tcPr>
            <w:tcW w:w="2268" w:type="dxa"/>
            <w:vAlign w:val="center"/>
          </w:tcPr>
          <w:p>
            <w:pPr>
              <w:pStyle w:val="13"/>
            </w:pPr>
            <w:r>
              <w:t>≤27万元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加强和改善民主履行参政议政</w:t>
            </w:r>
          </w:p>
        </w:tc>
        <w:tc>
          <w:tcPr>
            <w:tcW w:w="5386" w:type="dxa"/>
            <w:vAlign w:val="center"/>
          </w:tcPr>
          <w:p>
            <w:pPr>
              <w:pStyle w:val="13"/>
            </w:pPr>
            <w:r>
              <w:t>加强和改善民主履行参政议政</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3、民盟参政议政经费绩效目标表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13090025P00014810002G</w:t>
            </w:r>
          </w:p>
        </w:tc>
        <w:tc>
          <w:tcPr>
            <w:tcW w:w="2835" w:type="dxa"/>
            <w:vAlign w:val="center"/>
          </w:tcPr>
          <w:p>
            <w:pPr>
              <w:pStyle w:val="11"/>
            </w:pPr>
            <w:r>
              <w:t>项目名称</w:t>
            </w:r>
          </w:p>
        </w:tc>
        <w:tc>
          <w:tcPr>
            <w:tcW w:w="6095" w:type="dxa"/>
            <w:gridSpan w:val="3"/>
            <w:vAlign w:val="center"/>
          </w:tcPr>
          <w:p>
            <w:pPr>
              <w:pStyle w:val="13"/>
            </w:pPr>
            <w:r>
              <w:t>民盟参政议政经费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增强民盟组织的凝聚力和参政议政能力，发挥民主党派作用，积极参政议政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开展各类活动次数</w:t>
            </w:r>
          </w:p>
        </w:tc>
        <w:tc>
          <w:tcPr>
            <w:tcW w:w="5386" w:type="dxa"/>
            <w:vAlign w:val="center"/>
          </w:tcPr>
          <w:p>
            <w:pPr>
              <w:pStyle w:val="13"/>
            </w:pPr>
            <w:r>
              <w:t>年度内开展社会服务活动、盟员学习培训</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本职工作</w:t>
            </w:r>
          </w:p>
        </w:tc>
        <w:tc>
          <w:tcPr>
            <w:tcW w:w="5386" w:type="dxa"/>
            <w:vAlign w:val="center"/>
          </w:tcPr>
          <w:p>
            <w:pPr>
              <w:pStyle w:val="13"/>
            </w:pPr>
            <w:r>
              <w:t>高效开展本职工作，保证机关事务正常运转</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及时完成各项工作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履行社会责任</w:t>
            </w:r>
          </w:p>
        </w:tc>
        <w:tc>
          <w:tcPr>
            <w:tcW w:w="5386" w:type="dxa"/>
            <w:vAlign w:val="center"/>
          </w:tcPr>
          <w:p>
            <w:pPr>
              <w:pStyle w:val="13"/>
            </w:pPr>
            <w:r>
              <w:t>推进社会服务工作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4、农工党参政议政专项经费绩效目标表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13090025P00014210001T</w:t>
            </w:r>
          </w:p>
        </w:tc>
        <w:tc>
          <w:tcPr>
            <w:tcW w:w="2835" w:type="dxa"/>
            <w:vAlign w:val="center"/>
          </w:tcPr>
          <w:p>
            <w:pPr>
              <w:pStyle w:val="11"/>
            </w:pPr>
            <w:r>
              <w:t>项目名称</w:t>
            </w:r>
          </w:p>
        </w:tc>
        <w:tc>
          <w:tcPr>
            <w:tcW w:w="6095" w:type="dxa"/>
            <w:gridSpan w:val="3"/>
            <w:vAlign w:val="center"/>
          </w:tcPr>
          <w:p>
            <w:pPr>
              <w:pStyle w:val="13"/>
            </w:pPr>
            <w:r>
              <w:t>农工党参政议政专项经费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增强农工党组织的凝聚力和参政议政能力，发挥民主党派作用，积极参政议政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750000%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开展各类活动次数</w:t>
            </w:r>
          </w:p>
        </w:tc>
        <w:tc>
          <w:tcPr>
            <w:tcW w:w="5386" w:type="dxa"/>
            <w:vAlign w:val="center"/>
          </w:tcPr>
          <w:p>
            <w:pPr>
              <w:pStyle w:val="13"/>
            </w:pPr>
            <w:r>
              <w:t>年度内开展社会服务活动、盟员学习培训</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本职工作</w:t>
            </w:r>
          </w:p>
        </w:tc>
        <w:tc>
          <w:tcPr>
            <w:tcW w:w="5386" w:type="dxa"/>
            <w:vAlign w:val="center"/>
          </w:tcPr>
          <w:p>
            <w:pPr>
              <w:pStyle w:val="13"/>
            </w:pPr>
            <w:r>
              <w:t>高效开展本职工作，保证机关事务正常运转</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及时完成各项工作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履行社会责任</w:t>
            </w:r>
          </w:p>
        </w:tc>
        <w:tc>
          <w:tcPr>
            <w:tcW w:w="5386" w:type="dxa"/>
            <w:vAlign w:val="center"/>
          </w:tcPr>
          <w:p>
            <w:pPr>
              <w:pStyle w:val="13"/>
            </w:pPr>
            <w:r>
              <w:t>推进社会服务工作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中国农工民主党沧州市委员会（含所属单位）上年末固定资产金额为186.55万元（详见下表）。本年度拟购置固定资产总额为0.00万元，已按要求列入政府采购预算，详见政府采购预算表。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153.68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200</w:t>
            </w:r>
          </w:p>
        </w:tc>
        <w:tc>
          <w:tcPr>
            <w:tcW w:w="2835" w:type="dxa"/>
            <w:vAlign w:val="center"/>
          </w:tcPr>
          <w:p>
            <w:pPr>
              <w:pStyle w:val="12"/>
            </w:pPr>
            <w:r>
              <w:t>32.87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A6BA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9</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2025-02-11T15:34:00Z</dcterms:created>
  <dc:creator>Administrator</dc:creator>
  <cp:lastModifiedBy>Administrator</cp:lastModifiedBy>
  <dcterms:modified xsi:type="dcterms:W3CDTF">2025-02-11T07:45:21Z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