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一、中国农工民主党沧州市委员会本级收支预算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一、中国农工民主党沧州市委员会本级收支预算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455.73</w:t>
            </w:r>
          </w:p>
        </w:tc>
        <w:tc>
          <w:tcPr>
            <w:tcW w:w="4535" w:type="dxa"/>
            <w:vAlign w:val="center"/>
          </w:tcPr>
          <w:p>
            <w:pPr>
              <w:pStyle w:val="12"/>
            </w:pPr>
            <w:r>
              <w:t>一、一般公共服务支出</w:t>
            </w:r>
          </w:p>
        </w:tc>
        <w:tc>
          <w:tcPr>
            <w:tcW w:w="2126" w:type="dxa"/>
            <w:vAlign w:val="center"/>
          </w:tcPr>
          <w:p>
            <w:pPr>
              <w:pStyle w:val="11"/>
            </w:pPr>
            <w:r>
              <w:t>382.09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455.73</w:t>
            </w:r>
          </w:p>
        </w:tc>
        <w:tc>
          <w:tcPr>
            <w:tcW w:w="4535" w:type="dxa"/>
            <w:vAlign w:val="center"/>
          </w:tcPr>
          <w:p>
            <w:pPr>
              <w:pStyle w:val="14"/>
            </w:pPr>
            <w:r>
              <w:t>本年支出合计</w:t>
            </w:r>
          </w:p>
        </w:tc>
        <w:tc>
          <w:tcPr>
            <w:tcW w:w="2126" w:type="dxa"/>
            <w:vAlign w:val="center"/>
          </w:tcPr>
          <w:p>
            <w:pPr>
              <w:pStyle w:val="15"/>
            </w:pPr>
            <w:r>
              <w:t>455.73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455.73</w:t>
            </w:r>
          </w:p>
        </w:tc>
        <w:tc>
          <w:tcPr>
            <w:tcW w:w="4535" w:type="dxa"/>
            <w:vAlign w:val="center"/>
          </w:tcPr>
          <w:p>
            <w:pPr>
              <w:pStyle w:val="14"/>
            </w:pPr>
            <w:r>
              <w:t>支出总计</w:t>
            </w:r>
          </w:p>
        </w:tc>
        <w:tc>
          <w:tcPr>
            <w:tcW w:w="2126" w:type="dxa"/>
            <w:vAlign w:val="center"/>
          </w:tcPr>
          <w:p>
            <w:pPr>
              <w:pStyle w:val="15"/>
            </w:pPr>
            <w:r>
              <w:t>455.73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455.73</w:t>
            </w:r>
          </w:p>
        </w:tc>
        <w:tc>
          <w:tcPr>
            <w:tcW w:w="1134" w:type="dxa"/>
            <w:vAlign w:val="center"/>
          </w:tcPr>
          <w:p>
            <w:pPr>
              <w:pStyle w:val="15"/>
            </w:pPr>
            <w:r>
              <w:t>455.73</w:t>
            </w:r>
          </w:p>
        </w:tc>
        <w:tc>
          <w:tcPr>
            <w:tcW w:w="1134" w:type="dxa"/>
            <w:vAlign w:val="center"/>
          </w:tcPr>
          <w:p>
            <w:pPr>
              <w:pStyle w:val="15"/>
            </w:pPr>
            <w:r>
              <w:t>455.73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382.09</w:t>
            </w:r>
          </w:p>
        </w:tc>
        <w:tc>
          <w:tcPr>
            <w:tcW w:w="1134" w:type="dxa"/>
            <w:vAlign w:val="center"/>
          </w:tcPr>
          <w:p>
            <w:pPr>
              <w:pStyle w:val="11"/>
            </w:pPr>
            <w:r>
              <w:t>382.09</w:t>
            </w:r>
          </w:p>
        </w:tc>
        <w:tc>
          <w:tcPr>
            <w:tcW w:w="1134" w:type="dxa"/>
            <w:vAlign w:val="center"/>
          </w:tcPr>
          <w:p>
            <w:pPr>
              <w:pStyle w:val="11"/>
            </w:pPr>
            <w:r>
              <w:t>382.09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20128</w:t>
            </w:r>
          </w:p>
        </w:tc>
        <w:tc>
          <w:tcPr>
            <w:tcW w:w="1559" w:type="dxa"/>
            <w:vAlign w:val="center"/>
          </w:tcPr>
          <w:p>
            <w:pPr>
              <w:pStyle w:val="12"/>
            </w:pPr>
            <w:r>
              <w:t>民主党派及工商联事务</w:t>
            </w:r>
          </w:p>
        </w:tc>
        <w:tc>
          <w:tcPr>
            <w:tcW w:w="1134" w:type="dxa"/>
            <w:vAlign w:val="center"/>
          </w:tcPr>
          <w:p>
            <w:pPr>
              <w:pStyle w:val="11"/>
            </w:pPr>
            <w:r>
              <w:t>382.09</w:t>
            </w:r>
          </w:p>
        </w:tc>
        <w:tc>
          <w:tcPr>
            <w:tcW w:w="1134" w:type="dxa"/>
            <w:vAlign w:val="center"/>
          </w:tcPr>
          <w:p>
            <w:pPr>
              <w:pStyle w:val="11"/>
            </w:pPr>
            <w:r>
              <w:t>382.09</w:t>
            </w:r>
          </w:p>
        </w:tc>
        <w:tc>
          <w:tcPr>
            <w:tcW w:w="1134" w:type="dxa"/>
            <w:vAlign w:val="center"/>
          </w:tcPr>
          <w:p>
            <w:pPr>
              <w:pStyle w:val="11"/>
            </w:pPr>
            <w:r>
              <w:t>382.09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2012801</w:t>
            </w:r>
          </w:p>
        </w:tc>
        <w:tc>
          <w:tcPr>
            <w:tcW w:w="1559" w:type="dxa"/>
            <w:vAlign w:val="center"/>
          </w:tcPr>
          <w:p>
            <w:pPr>
              <w:pStyle w:val="12"/>
            </w:pPr>
            <w:r>
              <w:t>行政运行</w:t>
            </w:r>
          </w:p>
        </w:tc>
        <w:tc>
          <w:tcPr>
            <w:tcW w:w="1134" w:type="dxa"/>
            <w:vAlign w:val="center"/>
          </w:tcPr>
          <w:p>
            <w:pPr>
              <w:pStyle w:val="11"/>
            </w:pPr>
            <w:r>
              <w:t>382.09</w:t>
            </w:r>
          </w:p>
        </w:tc>
        <w:tc>
          <w:tcPr>
            <w:tcW w:w="1134" w:type="dxa"/>
            <w:vAlign w:val="center"/>
          </w:tcPr>
          <w:p>
            <w:pPr>
              <w:pStyle w:val="11"/>
            </w:pPr>
            <w:r>
              <w:t>382.09</w:t>
            </w:r>
          </w:p>
        </w:tc>
        <w:tc>
          <w:tcPr>
            <w:tcW w:w="1134" w:type="dxa"/>
            <w:vAlign w:val="center"/>
          </w:tcPr>
          <w:p>
            <w:pPr>
              <w:pStyle w:val="11"/>
            </w:pPr>
            <w:r>
              <w:t>382.09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27.00</w:t>
            </w:r>
          </w:p>
        </w:tc>
        <w:tc>
          <w:tcPr>
            <w:tcW w:w="1134" w:type="dxa"/>
            <w:vAlign w:val="center"/>
          </w:tcPr>
          <w:p>
            <w:pPr>
              <w:pStyle w:val="11"/>
            </w:pPr>
            <w:r>
              <w:t>27.00</w:t>
            </w:r>
          </w:p>
        </w:tc>
        <w:tc>
          <w:tcPr>
            <w:tcW w:w="1134" w:type="dxa"/>
            <w:vAlign w:val="center"/>
          </w:tcPr>
          <w:p>
            <w:pPr>
              <w:pStyle w:val="11"/>
            </w:pPr>
            <w:r>
              <w:t>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26.34</w:t>
            </w:r>
          </w:p>
        </w:tc>
        <w:tc>
          <w:tcPr>
            <w:tcW w:w="1134" w:type="dxa"/>
            <w:vAlign w:val="center"/>
          </w:tcPr>
          <w:p>
            <w:pPr>
              <w:pStyle w:val="11"/>
            </w:pPr>
            <w:r>
              <w:t>26.34</w:t>
            </w:r>
          </w:p>
        </w:tc>
        <w:tc>
          <w:tcPr>
            <w:tcW w:w="1134" w:type="dxa"/>
            <w:vAlign w:val="center"/>
          </w:tcPr>
          <w:p>
            <w:pPr>
              <w:pStyle w:val="11"/>
            </w:pPr>
            <w:r>
              <w:t>26.34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26.34</w:t>
            </w:r>
          </w:p>
        </w:tc>
        <w:tc>
          <w:tcPr>
            <w:tcW w:w="1134" w:type="dxa"/>
            <w:vAlign w:val="center"/>
          </w:tcPr>
          <w:p>
            <w:pPr>
              <w:pStyle w:val="11"/>
            </w:pPr>
            <w:r>
              <w:t>26.34</w:t>
            </w:r>
          </w:p>
        </w:tc>
        <w:tc>
          <w:tcPr>
            <w:tcW w:w="1134" w:type="dxa"/>
            <w:vAlign w:val="center"/>
          </w:tcPr>
          <w:p>
            <w:pPr>
              <w:pStyle w:val="11"/>
            </w:pPr>
            <w:r>
              <w:t>26.34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24.96</w:t>
            </w:r>
          </w:p>
        </w:tc>
        <w:tc>
          <w:tcPr>
            <w:tcW w:w="1134" w:type="dxa"/>
            <w:vAlign w:val="center"/>
          </w:tcPr>
          <w:p>
            <w:pPr>
              <w:pStyle w:val="11"/>
            </w:pPr>
            <w:r>
              <w:t>24.96</w:t>
            </w:r>
          </w:p>
        </w:tc>
        <w:tc>
          <w:tcPr>
            <w:tcW w:w="1134" w:type="dxa"/>
            <w:vAlign w:val="center"/>
          </w:tcPr>
          <w:p>
            <w:pPr>
              <w:pStyle w:val="11"/>
            </w:pPr>
            <w:r>
              <w:t>24.96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24.96</w:t>
            </w:r>
          </w:p>
        </w:tc>
        <w:tc>
          <w:tcPr>
            <w:tcW w:w="1134" w:type="dxa"/>
            <w:vAlign w:val="center"/>
          </w:tcPr>
          <w:p>
            <w:pPr>
              <w:pStyle w:val="11"/>
            </w:pPr>
            <w:r>
              <w:t>24.96</w:t>
            </w:r>
          </w:p>
        </w:tc>
        <w:tc>
          <w:tcPr>
            <w:tcW w:w="1134" w:type="dxa"/>
            <w:vAlign w:val="center"/>
          </w:tcPr>
          <w:p>
            <w:pPr>
              <w:pStyle w:val="11"/>
            </w:pPr>
            <w:r>
              <w:t>24.96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10.18</w:t>
            </w:r>
          </w:p>
        </w:tc>
        <w:tc>
          <w:tcPr>
            <w:tcW w:w="1134" w:type="dxa"/>
            <w:vAlign w:val="center"/>
          </w:tcPr>
          <w:p>
            <w:pPr>
              <w:pStyle w:val="11"/>
            </w:pPr>
            <w:r>
              <w:t>10.18</w:t>
            </w:r>
          </w:p>
        </w:tc>
        <w:tc>
          <w:tcPr>
            <w:tcW w:w="1134" w:type="dxa"/>
            <w:vAlign w:val="center"/>
          </w:tcPr>
          <w:p>
            <w:pPr>
              <w:pStyle w:val="11"/>
            </w:pPr>
            <w:r>
              <w:t>10.18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14.78</w:t>
            </w:r>
          </w:p>
        </w:tc>
        <w:tc>
          <w:tcPr>
            <w:tcW w:w="1134" w:type="dxa"/>
            <w:vAlign w:val="center"/>
          </w:tcPr>
          <w:p>
            <w:pPr>
              <w:pStyle w:val="11"/>
            </w:pPr>
            <w:r>
              <w:t>14.78</w:t>
            </w:r>
          </w:p>
        </w:tc>
        <w:tc>
          <w:tcPr>
            <w:tcW w:w="1134" w:type="dxa"/>
            <w:vAlign w:val="center"/>
          </w:tcPr>
          <w:p>
            <w:pPr>
              <w:pStyle w:val="11"/>
            </w:pPr>
            <w:r>
              <w:t>14.78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21.68</w:t>
            </w:r>
          </w:p>
        </w:tc>
        <w:tc>
          <w:tcPr>
            <w:tcW w:w="1134" w:type="dxa"/>
            <w:vAlign w:val="center"/>
          </w:tcPr>
          <w:p>
            <w:pPr>
              <w:pStyle w:val="11"/>
            </w:pPr>
            <w:r>
              <w:t>21.68</w:t>
            </w:r>
          </w:p>
        </w:tc>
        <w:tc>
          <w:tcPr>
            <w:tcW w:w="1134" w:type="dxa"/>
            <w:vAlign w:val="center"/>
          </w:tcPr>
          <w:p>
            <w:pPr>
              <w:pStyle w:val="11"/>
            </w:pPr>
            <w:r>
              <w:t>21.68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21.68</w:t>
            </w:r>
          </w:p>
        </w:tc>
        <w:tc>
          <w:tcPr>
            <w:tcW w:w="1134" w:type="dxa"/>
            <w:vAlign w:val="center"/>
          </w:tcPr>
          <w:p>
            <w:pPr>
              <w:pStyle w:val="11"/>
            </w:pPr>
            <w:r>
              <w:t>21.68</w:t>
            </w:r>
          </w:p>
        </w:tc>
        <w:tc>
          <w:tcPr>
            <w:tcW w:w="1134" w:type="dxa"/>
            <w:vAlign w:val="center"/>
          </w:tcPr>
          <w:p>
            <w:pPr>
              <w:pStyle w:val="11"/>
            </w:pPr>
            <w:r>
              <w:t>21.68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21.68</w:t>
            </w:r>
          </w:p>
        </w:tc>
        <w:tc>
          <w:tcPr>
            <w:tcW w:w="1134" w:type="dxa"/>
            <w:vAlign w:val="center"/>
          </w:tcPr>
          <w:p>
            <w:pPr>
              <w:pStyle w:val="11"/>
            </w:pPr>
            <w:r>
              <w:t>21.68</w:t>
            </w:r>
          </w:p>
        </w:tc>
        <w:tc>
          <w:tcPr>
            <w:tcW w:w="1134" w:type="dxa"/>
            <w:vAlign w:val="center"/>
          </w:tcPr>
          <w:p>
            <w:pPr>
              <w:pStyle w:val="11"/>
            </w:pPr>
            <w:r>
              <w:t>21.68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455.73</w:t>
            </w:r>
          </w:p>
        </w:tc>
        <w:tc>
          <w:tcPr>
            <w:tcW w:w="1361" w:type="dxa"/>
            <w:vAlign w:val="center"/>
          </w:tcPr>
          <w:p>
            <w:pPr>
              <w:pStyle w:val="15"/>
            </w:pPr>
            <w:r>
              <w:t>380.13</w:t>
            </w:r>
          </w:p>
        </w:tc>
        <w:tc>
          <w:tcPr>
            <w:tcW w:w="1361" w:type="dxa"/>
            <w:vAlign w:val="center"/>
          </w:tcPr>
          <w:p>
            <w:pPr>
              <w:pStyle w:val="15"/>
            </w:pPr>
            <w:r>
              <w:t>75.60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382.09</w:t>
            </w:r>
          </w:p>
        </w:tc>
        <w:tc>
          <w:tcPr>
            <w:tcW w:w="1361" w:type="dxa"/>
            <w:vAlign w:val="center"/>
          </w:tcPr>
          <w:p>
            <w:pPr>
              <w:pStyle w:val="11"/>
            </w:pPr>
            <w:r>
              <w:t>306.49</w:t>
            </w:r>
          </w:p>
        </w:tc>
        <w:tc>
          <w:tcPr>
            <w:tcW w:w="1361" w:type="dxa"/>
            <w:vAlign w:val="center"/>
          </w:tcPr>
          <w:p>
            <w:pPr>
              <w:pStyle w:val="11"/>
            </w:pPr>
            <w:r>
              <w:t>75.60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20128</w:t>
            </w:r>
          </w:p>
        </w:tc>
        <w:tc>
          <w:tcPr>
            <w:tcW w:w="4535" w:type="dxa"/>
            <w:vAlign w:val="center"/>
          </w:tcPr>
          <w:p>
            <w:pPr>
              <w:pStyle w:val="12"/>
            </w:pPr>
            <w:r>
              <w:t>民主党派及工商联事务</w:t>
            </w:r>
          </w:p>
        </w:tc>
        <w:tc>
          <w:tcPr>
            <w:tcW w:w="1361" w:type="dxa"/>
            <w:vAlign w:val="center"/>
          </w:tcPr>
          <w:p>
            <w:pPr>
              <w:pStyle w:val="11"/>
            </w:pPr>
            <w:r>
              <w:t>382.09</w:t>
            </w:r>
          </w:p>
        </w:tc>
        <w:tc>
          <w:tcPr>
            <w:tcW w:w="1361" w:type="dxa"/>
            <w:vAlign w:val="center"/>
          </w:tcPr>
          <w:p>
            <w:pPr>
              <w:pStyle w:val="11"/>
            </w:pPr>
            <w:r>
              <w:t>306.49</w:t>
            </w:r>
          </w:p>
        </w:tc>
        <w:tc>
          <w:tcPr>
            <w:tcW w:w="1361" w:type="dxa"/>
            <w:vAlign w:val="center"/>
          </w:tcPr>
          <w:p>
            <w:pPr>
              <w:pStyle w:val="11"/>
            </w:pPr>
            <w:r>
              <w:t>75.60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2012801</w:t>
            </w:r>
          </w:p>
        </w:tc>
        <w:tc>
          <w:tcPr>
            <w:tcW w:w="4535" w:type="dxa"/>
            <w:vAlign w:val="center"/>
          </w:tcPr>
          <w:p>
            <w:pPr>
              <w:pStyle w:val="12"/>
            </w:pPr>
            <w:r>
              <w:t>行政运行</w:t>
            </w:r>
          </w:p>
        </w:tc>
        <w:tc>
          <w:tcPr>
            <w:tcW w:w="1361" w:type="dxa"/>
            <w:vAlign w:val="center"/>
          </w:tcPr>
          <w:p>
            <w:pPr>
              <w:pStyle w:val="11"/>
            </w:pPr>
            <w:r>
              <w:t>382.09</w:t>
            </w:r>
          </w:p>
        </w:tc>
        <w:tc>
          <w:tcPr>
            <w:tcW w:w="1361" w:type="dxa"/>
            <w:vAlign w:val="center"/>
          </w:tcPr>
          <w:p>
            <w:pPr>
              <w:pStyle w:val="11"/>
            </w:pPr>
            <w:r>
              <w:t>306.49</w:t>
            </w:r>
          </w:p>
        </w:tc>
        <w:tc>
          <w:tcPr>
            <w:tcW w:w="1361" w:type="dxa"/>
            <w:vAlign w:val="center"/>
          </w:tcPr>
          <w:p>
            <w:pPr>
              <w:pStyle w:val="11"/>
            </w:pPr>
            <w:r>
              <w:t>75.60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27.00</w:t>
            </w:r>
          </w:p>
        </w:tc>
        <w:tc>
          <w:tcPr>
            <w:tcW w:w="1361" w:type="dxa"/>
            <w:vAlign w:val="center"/>
          </w:tcPr>
          <w:p>
            <w:pPr>
              <w:pStyle w:val="11"/>
            </w:pPr>
            <w:r>
              <w:t>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26.34</w:t>
            </w:r>
          </w:p>
        </w:tc>
        <w:tc>
          <w:tcPr>
            <w:tcW w:w="1361" w:type="dxa"/>
            <w:vAlign w:val="center"/>
          </w:tcPr>
          <w:p>
            <w:pPr>
              <w:pStyle w:val="11"/>
            </w:pPr>
            <w:r>
              <w:t>26.34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26.34</w:t>
            </w:r>
          </w:p>
        </w:tc>
        <w:tc>
          <w:tcPr>
            <w:tcW w:w="1361" w:type="dxa"/>
            <w:vAlign w:val="center"/>
          </w:tcPr>
          <w:p>
            <w:pPr>
              <w:pStyle w:val="11"/>
            </w:pPr>
            <w:r>
              <w:t>26.34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0.66</w:t>
            </w:r>
          </w:p>
        </w:tc>
        <w:tc>
          <w:tcPr>
            <w:tcW w:w="1361" w:type="dxa"/>
            <w:vAlign w:val="center"/>
          </w:tcPr>
          <w:p>
            <w:pPr>
              <w:pStyle w:val="11"/>
            </w:pPr>
            <w:r>
              <w:t>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0.66</w:t>
            </w:r>
          </w:p>
        </w:tc>
        <w:tc>
          <w:tcPr>
            <w:tcW w:w="1361" w:type="dxa"/>
            <w:vAlign w:val="center"/>
          </w:tcPr>
          <w:p>
            <w:pPr>
              <w:pStyle w:val="11"/>
            </w:pPr>
            <w:r>
              <w:t>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24.96</w:t>
            </w:r>
          </w:p>
        </w:tc>
        <w:tc>
          <w:tcPr>
            <w:tcW w:w="1361" w:type="dxa"/>
            <w:vAlign w:val="center"/>
          </w:tcPr>
          <w:p>
            <w:pPr>
              <w:pStyle w:val="11"/>
            </w:pPr>
            <w:r>
              <w:t>24.96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24.96</w:t>
            </w:r>
          </w:p>
        </w:tc>
        <w:tc>
          <w:tcPr>
            <w:tcW w:w="1361" w:type="dxa"/>
            <w:vAlign w:val="center"/>
          </w:tcPr>
          <w:p>
            <w:pPr>
              <w:pStyle w:val="11"/>
            </w:pPr>
            <w:r>
              <w:t>24.96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10.18</w:t>
            </w:r>
          </w:p>
        </w:tc>
        <w:tc>
          <w:tcPr>
            <w:tcW w:w="1361" w:type="dxa"/>
            <w:vAlign w:val="center"/>
          </w:tcPr>
          <w:p>
            <w:pPr>
              <w:pStyle w:val="11"/>
            </w:pPr>
            <w:r>
              <w:t>10.18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14.78</w:t>
            </w:r>
          </w:p>
        </w:tc>
        <w:tc>
          <w:tcPr>
            <w:tcW w:w="1361" w:type="dxa"/>
            <w:vAlign w:val="center"/>
          </w:tcPr>
          <w:p>
            <w:pPr>
              <w:pStyle w:val="11"/>
            </w:pPr>
            <w:r>
              <w:t>14.78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21.68</w:t>
            </w:r>
          </w:p>
        </w:tc>
        <w:tc>
          <w:tcPr>
            <w:tcW w:w="1361" w:type="dxa"/>
            <w:vAlign w:val="center"/>
          </w:tcPr>
          <w:p>
            <w:pPr>
              <w:pStyle w:val="11"/>
            </w:pPr>
            <w:r>
              <w:t>21.68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21.68</w:t>
            </w:r>
          </w:p>
        </w:tc>
        <w:tc>
          <w:tcPr>
            <w:tcW w:w="1361" w:type="dxa"/>
            <w:vAlign w:val="center"/>
          </w:tcPr>
          <w:p>
            <w:pPr>
              <w:pStyle w:val="11"/>
            </w:pPr>
            <w:r>
              <w:t>21.68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21.68</w:t>
            </w:r>
          </w:p>
        </w:tc>
        <w:tc>
          <w:tcPr>
            <w:tcW w:w="1361" w:type="dxa"/>
            <w:vAlign w:val="center"/>
          </w:tcPr>
          <w:p>
            <w:pPr>
              <w:pStyle w:val="11"/>
            </w:pPr>
            <w:r>
              <w:t>21.68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455.73</w:t>
            </w:r>
          </w:p>
        </w:tc>
        <w:tc>
          <w:tcPr>
            <w:tcW w:w="3402" w:type="dxa"/>
            <w:vAlign w:val="center"/>
          </w:tcPr>
          <w:p>
            <w:pPr>
              <w:pStyle w:val="12"/>
            </w:pPr>
            <w:r>
              <w:t>一、一般公共服务支出</w:t>
            </w:r>
          </w:p>
        </w:tc>
        <w:tc>
          <w:tcPr>
            <w:tcW w:w="1474" w:type="dxa"/>
            <w:vAlign w:val="center"/>
          </w:tcPr>
          <w:p>
            <w:pPr>
              <w:pStyle w:val="11"/>
            </w:pPr>
            <w:r>
              <w:t>382.09</w:t>
            </w:r>
          </w:p>
        </w:tc>
        <w:tc>
          <w:tcPr>
            <w:tcW w:w="1474" w:type="dxa"/>
            <w:vAlign w:val="center"/>
          </w:tcPr>
          <w:p>
            <w:pPr>
              <w:pStyle w:val="11"/>
            </w:pPr>
            <w:r>
              <w:t>382.09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27.00</w:t>
            </w:r>
          </w:p>
        </w:tc>
        <w:tc>
          <w:tcPr>
            <w:tcW w:w="1474" w:type="dxa"/>
            <w:vAlign w:val="center"/>
          </w:tcPr>
          <w:p>
            <w:pPr>
              <w:pStyle w:val="11"/>
            </w:pPr>
            <w:r>
              <w:t>27.00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24.96</w:t>
            </w:r>
          </w:p>
        </w:tc>
        <w:tc>
          <w:tcPr>
            <w:tcW w:w="1474" w:type="dxa"/>
            <w:vAlign w:val="center"/>
          </w:tcPr>
          <w:p>
            <w:pPr>
              <w:pStyle w:val="11"/>
            </w:pPr>
            <w:r>
              <w:t>24.96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21.68</w:t>
            </w:r>
          </w:p>
        </w:tc>
        <w:tc>
          <w:tcPr>
            <w:tcW w:w="1474" w:type="dxa"/>
            <w:vAlign w:val="center"/>
          </w:tcPr>
          <w:p>
            <w:pPr>
              <w:pStyle w:val="11"/>
            </w:pPr>
            <w:r>
              <w:t>21.68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455.73</w:t>
            </w:r>
          </w:p>
        </w:tc>
        <w:tc>
          <w:tcPr>
            <w:tcW w:w="3402" w:type="dxa"/>
            <w:vAlign w:val="center"/>
          </w:tcPr>
          <w:p>
            <w:pPr>
              <w:pStyle w:val="14"/>
            </w:pPr>
            <w:r>
              <w:t>本年支出合计</w:t>
            </w:r>
          </w:p>
        </w:tc>
        <w:tc>
          <w:tcPr>
            <w:tcW w:w="1474" w:type="dxa"/>
            <w:vAlign w:val="center"/>
          </w:tcPr>
          <w:p>
            <w:pPr>
              <w:pStyle w:val="15"/>
            </w:pPr>
            <w:r>
              <w:t>455.73</w:t>
            </w:r>
          </w:p>
        </w:tc>
        <w:tc>
          <w:tcPr>
            <w:tcW w:w="1474" w:type="dxa"/>
            <w:vAlign w:val="center"/>
          </w:tcPr>
          <w:p>
            <w:pPr>
              <w:pStyle w:val="15"/>
            </w:pPr>
            <w:r>
              <w:t>455.73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455.73</w:t>
            </w:r>
          </w:p>
        </w:tc>
        <w:tc>
          <w:tcPr>
            <w:tcW w:w="3402" w:type="dxa"/>
            <w:vAlign w:val="center"/>
          </w:tcPr>
          <w:p>
            <w:pPr>
              <w:pStyle w:val="14"/>
            </w:pPr>
            <w:r>
              <w:t>支出总计</w:t>
            </w:r>
          </w:p>
        </w:tc>
        <w:tc>
          <w:tcPr>
            <w:tcW w:w="1474" w:type="dxa"/>
            <w:vAlign w:val="center"/>
          </w:tcPr>
          <w:p>
            <w:pPr>
              <w:pStyle w:val="15"/>
            </w:pPr>
            <w:r>
              <w:t>455.73</w:t>
            </w:r>
          </w:p>
        </w:tc>
        <w:tc>
          <w:tcPr>
            <w:tcW w:w="1474" w:type="dxa"/>
            <w:vAlign w:val="center"/>
          </w:tcPr>
          <w:p>
            <w:pPr>
              <w:pStyle w:val="15"/>
            </w:pPr>
            <w:r>
              <w:t>455.73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455.73</w:t>
            </w:r>
          </w:p>
        </w:tc>
        <w:tc>
          <w:tcPr>
            <w:tcW w:w="2551" w:type="dxa"/>
            <w:vAlign w:val="center"/>
          </w:tcPr>
          <w:p>
            <w:pPr>
              <w:pStyle w:val="15"/>
            </w:pPr>
            <w:r>
              <w:t>380.13</w:t>
            </w:r>
          </w:p>
        </w:tc>
        <w:tc>
          <w:tcPr>
            <w:tcW w:w="2551" w:type="dxa"/>
            <w:vAlign w:val="center"/>
          </w:tcPr>
          <w:p>
            <w:pPr>
              <w:pStyle w:val="15"/>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382.09</w:t>
            </w:r>
          </w:p>
        </w:tc>
        <w:tc>
          <w:tcPr>
            <w:tcW w:w="2551" w:type="dxa"/>
            <w:vAlign w:val="center"/>
          </w:tcPr>
          <w:p>
            <w:pPr>
              <w:pStyle w:val="11"/>
            </w:pPr>
            <w:r>
              <w:t>306.49</w:t>
            </w:r>
          </w:p>
        </w:tc>
        <w:tc>
          <w:tcPr>
            <w:tcW w:w="2551" w:type="dxa"/>
            <w:vAlign w:val="center"/>
          </w:tcPr>
          <w:p>
            <w:pPr>
              <w:pStyle w:val="11"/>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20128</w:t>
            </w:r>
          </w:p>
        </w:tc>
        <w:tc>
          <w:tcPr>
            <w:tcW w:w="4535" w:type="dxa"/>
            <w:vAlign w:val="center"/>
          </w:tcPr>
          <w:p>
            <w:pPr>
              <w:pStyle w:val="12"/>
            </w:pPr>
            <w:r>
              <w:t>民主党派及工商联事务</w:t>
            </w:r>
          </w:p>
        </w:tc>
        <w:tc>
          <w:tcPr>
            <w:tcW w:w="2551" w:type="dxa"/>
            <w:vAlign w:val="center"/>
          </w:tcPr>
          <w:p>
            <w:pPr>
              <w:pStyle w:val="11"/>
            </w:pPr>
            <w:r>
              <w:t>382.09</w:t>
            </w:r>
          </w:p>
        </w:tc>
        <w:tc>
          <w:tcPr>
            <w:tcW w:w="2551" w:type="dxa"/>
            <w:vAlign w:val="center"/>
          </w:tcPr>
          <w:p>
            <w:pPr>
              <w:pStyle w:val="11"/>
            </w:pPr>
            <w:r>
              <w:t>306.49</w:t>
            </w:r>
          </w:p>
        </w:tc>
        <w:tc>
          <w:tcPr>
            <w:tcW w:w="2551" w:type="dxa"/>
            <w:vAlign w:val="center"/>
          </w:tcPr>
          <w:p>
            <w:pPr>
              <w:pStyle w:val="11"/>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2012801</w:t>
            </w:r>
          </w:p>
        </w:tc>
        <w:tc>
          <w:tcPr>
            <w:tcW w:w="4535" w:type="dxa"/>
            <w:vAlign w:val="center"/>
          </w:tcPr>
          <w:p>
            <w:pPr>
              <w:pStyle w:val="12"/>
            </w:pPr>
            <w:r>
              <w:t>行政运行</w:t>
            </w:r>
          </w:p>
        </w:tc>
        <w:tc>
          <w:tcPr>
            <w:tcW w:w="2551" w:type="dxa"/>
            <w:vAlign w:val="center"/>
          </w:tcPr>
          <w:p>
            <w:pPr>
              <w:pStyle w:val="11"/>
            </w:pPr>
            <w:r>
              <w:t>382.09</w:t>
            </w:r>
          </w:p>
        </w:tc>
        <w:tc>
          <w:tcPr>
            <w:tcW w:w="2551" w:type="dxa"/>
            <w:vAlign w:val="center"/>
          </w:tcPr>
          <w:p>
            <w:pPr>
              <w:pStyle w:val="11"/>
            </w:pPr>
            <w:r>
              <w:t>306.49</w:t>
            </w:r>
          </w:p>
        </w:tc>
        <w:tc>
          <w:tcPr>
            <w:tcW w:w="2551" w:type="dxa"/>
            <w:vAlign w:val="center"/>
          </w:tcPr>
          <w:p>
            <w:pPr>
              <w:pStyle w:val="11"/>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27.00</w:t>
            </w:r>
          </w:p>
        </w:tc>
        <w:tc>
          <w:tcPr>
            <w:tcW w:w="2551" w:type="dxa"/>
            <w:vAlign w:val="center"/>
          </w:tcPr>
          <w:p>
            <w:pPr>
              <w:pStyle w:val="11"/>
            </w:pPr>
            <w:r>
              <w:t>27.00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26.34</w:t>
            </w:r>
          </w:p>
        </w:tc>
        <w:tc>
          <w:tcPr>
            <w:tcW w:w="2551" w:type="dxa"/>
            <w:vAlign w:val="center"/>
          </w:tcPr>
          <w:p>
            <w:pPr>
              <w:pStyle w:val="11"/>
            </w:pPr>
            <w:r>
              <w:t>26.34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26.34</w:t>
            </w:r>
          </w:p>
        </w:tc>
        <w:tc>
          <w:tcPr>
            <w:tcW w:w="2551" w:type="dxa"/>
            <w:vAlign w:val="center"/>
          </w:tcPr>
          <w:p>
            <w:pPr>
              <w:pStyle w:val="11"/>
            </w:pPr>
            <w:r>
              <w:t>26.34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24.96</w:t>
            </w:r>
          </w:p>
        </w:tc>
        <w:tc>
          <w:tcPr>
            <w:tcW w:w="2551" w:type="dxa"/>
            <w:vAlign w:val="center"/>
          </w:tcPr>
          <w:p>
            <w:pPr>
              <w:pStyle w:val="11"/>
            </w:pPr>
            <w:r>
              <w:t>24.96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24.96</w:t>
            </w:r>
          </w:p>
        </w:tc>
        <w:tc>
          <w:tcPr>
            <w:tcW w:w="2551" w:type="dxa"/>
            <w:vAlign w:val="center"/>
          </w:tcPr>
          <w:p>
            <w:pPr>
              <w:pStyle w:val="11"/>
            </w:pPr>
            <w:r>
              <w:t>24.96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10.18</w:t>
            </w:r>
          </w:p>
        </w:tc>
        <w:tc>
          <w:tcPr>
            <w:tcW w:w="2551" w:type="dxa"/>
            <w:vAlign w:val="center"/>
          </w:tcPr>
          <w:p>
            <w:pPr>
              <w:pStyle w:val="11"/>
            </w:pPr>
            <w:r>
              <w:t>10.18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14.78</w:t>
            </w:r>
          </w:p>
        </w:tc>
        <w:tc>
          <w:tcPr>
            <w:tcW w:w="2551" w:type="dxa"/>
            <w:vAlign w:val="center"/>
          </w:tcPr>
          <w:p>
            <w:pPr>
              <w:pStyle w:val="11"/>
            </w:pPr>
            <w:r>
              <w:t>14.78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21.68</w:t>
            </w:r>
          </w:p>
        </w:tc>
        <w:tc>
          <w:tcPr>
            <w:tcW w:w="2551" w:type="dxa"/>
            <w:vAlign w:val="center"/>
          </w:tcPr>
          <w:p>
            <w:pPr>
              <w:pStyle w:val="11"/>
            </w:pPr>
            <w:r>
              <w:t>21.68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21.68</w:t>
            </w:r>
          </w:p>
        </w:tc>
        <w:tc>
          <w:tcPr>
            <w:tcW w:w="2551" w:type="dxa"/>
            <w:vAlign w:val="center"/>
          </w:tcPr>
          <w:p>
            <w:pPr>
              <w:pStyle w:val="11"/>
            </w:pPr>
            <w:r>
              <w:t>21.68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21.68</w:t>
            </w:r>
          </w:p>
        </w:tc>
        <w:tc>
          <w:tcPr>
            <w:tcW w:w="2551" w:type="dxa"/>
            <w:vAlign w:val="center"/>
          </w:tcPr>
          <w:p>
            <w:pPr>
              <w:pStyle w:val="11"/>
            </w:pPr>
            <w:r>
              <w:t>21.68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380.13</w:t>
            </w:r>
          </w:p>
        </w:tc>
        <w:tc>
          <w:tcPr>
            <w:tcW w:w="2551" w:type="dxa"/>
            <w:vAlign w:val="center"/>
          </w:tcPr>
          <w:p>
            <w:pPr>
              <w:pStyle w:val="15"/>
            </w:pPr>
            <w:r>
              <w:t>328.69</w:t>
            </w:r>
          </w:p>
        </w:tc>
        <w:tc>
          <w:tcPr>
            <w:tcW w:w="2551" w:type="dxa"/>
            <w:vAlign w:val="center"/>
          </w:tcPr>
          <w:p>
            <w:pPr>
              <w:pStyle w:val="15"/>
            </w:pPr>
            <w:r>
              <w:t>51.44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270.34</w:t>
            </w:r>
          </w:p>
        </w:tc>
        <w:tc>
          <w:tcPr>
            <w:tcW w:w="2551" w:type="dxa"/>
            <w:vAlign w:val="center"/>
          </w:tcPr>
          <w:p>
            <w:pPr>
              <w:pStyle w:val="11"/>
            </w:pPr>
            <w:r>
              <w:t>270.34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85.86</w:t>
            </w:r>
          </w:p>
        </w:tc>
        <w:tc>
          <w:tcPr>
            <w:tcW w:w="2551" w:type="dxa"/>
            <w:vAlign w:val="center"/>
          </w:tcPr>
          <w:p>
            <w:pPr>
              <w:pStyle w:val="11"/>
            </w:pPr>
            <w:r>
              <w:t>85.86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53.64</w:t>
            </w:r>
          </w:p>
        </w:tc>
        <w:tc>
          <w:tcPr>
            <w:tcW w:w="2551" w:type="dxa"/>
            <w:vAlign w:val="center"/>
          </w:tcPr>
          <w:p>
            <w:pPr>
              <w:pStyle w:val="11"/>
            </w:pPr>
            <w:r>
              <w:t>53.64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57.20</w:t>
            </w:r>
          </w:p>
        </w:tc>
        <w:tc>
          <w:tcPr>
            <w:tcW w:w="2551" w:type="dxa"/>
            <w:vAlign w:val="center"/>
          </w:tcPr>
          <w:p>
            <w:pPr>
              <w:pStyle w:val="11"/>
            </w:pPr>
            <w:r>
              <w:t>57.20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26.34</w:t>
            </w:r>
          </w:p>
        </w:tc>
        <w:tc>
          <w:tcPr>
            <w:tcW w:w="2551" w:type="dxa"/>
            <w:vAlign w:val="center"/>
          </w:tcPr>
          <w:p>
            <w:pPr>
              <w:pStyle w:val="11"/>
            </w:pPr>
            <w:r>
              <w:t>26.34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10.18</w:t>
            </w:r>
          </w:p>
        </w:tc>
        <w:tc>
          <w:tcPr>
            <w:tcW w:w="2551" w:type="dxa"/>
            <w:vAlign w:val="center"/>
          </w:tcPr>
          <w:p>
            <w:pPr>
              <w:pStyle w:val="11"/>
            </w:pPr>
            <w:r>
              <w:t>10.18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14.78</w:t>
            </w:r>
          </w:p>
        </w:tc>
        <w:tc>
          <w:tcPr>
            <w:tcW w:w="2551" w:type="dxa"/>
            <w:vAlign w:val="center"/>
          </w:tcPr>
          <w:p>
            <w:pPr>
              <w:pStyle w:val="11"/>
            </w:pPr>
            <w:r>
              <w:t>14.78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21.68</w:t>
            </w:r>
          </w:p>
        </w:tc>
        <w:tc>
          <w:tcPr>
            <w:tcW w:w="2551" w:type="dxa"/>
            <w:vAlign w:val="center"/>
          </w:tcPr>
          <w:p>
            <w:pPr>
              <w:pStyle w:val="11"/>
            </w:pPr>
            <w:r>
              <w:t>21.68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51.44</w:t>
            </w:r>
          </w:p>
        </w:tc>
        <w:tc>
          <w:tcPr>
            <w:tcW w:w="2551" w:type="dxa"/>
            <w:vAlign w:val="center"/>
          </w:tcPr>
          <w:p>
            <w:pPr>
              <w:pStyle w:val="11"/>
            </w:pPr>
          </w:p>
        </w:tc>
        <w:tc>
          <w:tcPr>
            <w:tcW w:w="2551" w:type="dxa"/>
            <w:vAlign w:val="center"/>
          </w:tcPr>
          <w:p>
            <w:pPr>
              <w:pStyle w:val="11"/>
            </w:pPr>
            <w:r>
              <w:t>51.44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4.81</w:t>
            </w:r>
          </w:p>
        </w:tc>
        <w:tc>
          <w:tcPr>
            <w:tcW w:w="2551" w:type="dxa"/>
            <w:vAlign w:val="center"/>
          </w:tcPr>
          <w:p>
            <w:pPr>
              <w:pStyle w:val="11"/>
            </w:pPr>
          </w:p>
        </w:tc>
        <w:tc>
          <w:tcPr>
            <w:tcW w:w="2551" w:type="dxa"/>
            <w:vAlign w:val="center"/>
          </w:tcPr>
          <w:p>
            <w:pPr>
              <w:pStyle w:val="11"/>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0.31</w:t>
            </w:r>
          </w:p>
        </w:tc>
        <w:tc>
          <w:tcPr>
            <w:tcW w:w="2551" w:type="dxa"/>
            <w:vAlign w:val="center"/>
          </w:tcPr>
          <w:p>
            <w:pPr>
              <w:pStyle w:val="11"/>
            </w:pPr>
          </w:p>
        </w:tc>
        <w:tc>
          <w:tcPr>
            <w:tcW w:w="2551" w:type="dxa"/>
            <w:vAlign w:val="center"/>
          </w:tcPr>
          <w:p>
            <w:pPr>
              <w:pStyle w:val="11"/>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7.67</w:t>
            </w:r>
          </w:p>
        </w:tc>
        <w:tc>
          <w:tcPr>
            <w:tcW w:w="2551" w:type="dxa"/>
            <w:vAlign w:val="center"/>
          </w:tcPr>
          <w:p>
            <w:pPr>
              <w:pStyle w:val="11"/>
            </w:pPr>
          </w:p>
        </w:tc>
        <w:tc>
          <w:tcPr>
            <w:tcW w:w="2551" w:type="dxa"/>
            <w:vAlign w:val="center"/>
          </w:tcPr>
          <w:p>
            <w:pPr>
              <w:pStyle w:val="11"/>
            </w:pPr>
            <w:r>
              <w:t>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1.54</w:t>
            </w:r>
          </w:p>
        </w:tc>
        <w:tc>
          <w:tcPr>
            <w:tcW w:w="2551" w:type="dxa"/>
            <w:vAlign w:val="center"/>
          </w:tcPr>
          <w:p>
            <w:pPr>
              <w:pStyle w:val="11"/>
            </w:pPr>
          </w:p>
        </w:tc>
        <w:tc>
          <w:tcPr>
            <w:tcW w:w="2551" w:type="dxa"/>
            <w:vAlign w:val="center"/>
          </w:tcPr>
          <w:p>
            <w:pPr>
              <w:pStyle w:val="11"/>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0.67</w:t>
            </w:r>
          </w:p>
        </w:tc>
        <w:tc>
          <w:tcPr>
            <w:tcW w:w="2551" w:type="dxa"/>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1.06</w:t>
            </w:r>
          </w:p>
        </w:tc>
        <w:tc>
          <w:tcPr>
            <w:tcW w:w="2551" w:type="dxa"/>
            <w:vAlign w:val="center"/>
          </w:tcPr>
          <w:p>
            <w:pPr>
              <w:pStyle w:val="11"/>
            </w:pPr>
          </w:p>
        </w:tc>
        <w:tc>
          <w:tcPr>
            <w:tcW w:w="2551" w:type="dxa"/>
            <w:vAlign w:val="center"/>
          </w:tcPr>
          <w:p>
            <w:pPr>
              <w:pStyle w:val="11"/>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9.53</w:t>
            </w:r>
          </w:p>
        </w:tc>
        <w:tc>
          <w:tcPr>
            <w:tcW w:w="2551" w:type="dxa"/>
            <w:vAlign w:val="center"/>
          </w:tcPr>
          <w:p>
            <w:pPr>
              <w:pStyle w:val="11"/>
            </w:pPr>
          </w:p>
        </w:tc>
        <w:tc>
          <w:tcPr>
            <w:tcW w:w="2551" w:type="dxa"/>
            <w:vAlign w:val="center"/>
          </w:tcPr>
          <w:p>
            <w:pPr>
              <w:pStyle w:val="11"/>
            </w:pPr>
            <w: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10.08</w:t>
            </w:r>
          </w:p>
        </w:tc>
        <w:tc>
          <w:tcPr>
            <w:tcW w:w="2551" w:type="dxa"/>
            <w:vAlign w:val="center"/>
          </w:tcPr>
          <w:p>
            <w:pPr>
              <w:pStyle w:val="11"/>
            </w:pPr>
          </w:p>
        </w:tc>
        <w:tc>
          <w:tcPr>
            <w:tcW w:w="2551" w:type="dxa"/>
            <w:vAlign w:val="center"/>
          </w:tcPr>
          <w:p>
            <w:pPr>
              <w:pStyle w:val="11"/>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10.23</w:t>
            </w:r>
          </w:p>
        </w:tc>
        <w:tc>
          <w:tcPr>
            <w:tcW w:w="2551" w:type="dxa"/>
            <w:vAlign w:val="center"/>
          </w:tcPr>
          <w:p>
            <w:pPr>
              <w:pStyle w:val="11"/>
            </w:pPr>
          </w:p>
        </w:tc>
        <w:tc>
          <w:tcPr>
            <w:tcW w:w="2551" w:type="dxa"/>
            <w:vAlign w:val="center"/>
          </w:tcPr>
          <w:p>
            <w:pPr>
              <w:pStyle w:val="11"/>
            </w:pPr>
            <w:r>
              <w:t>10.23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58.35</w:t>
            </w:r>
          </w:p>
        </w:tc>
        <w:tc>
          <w:tcPr>
            <w:tcW w:w="2551" w:type="dxa"/>
            <w:vAlign w:val="center"/>
          </w:tcPr>
          <w:p>
            <w:pPr>
              <w:pStyle w:val="11"/>
            </w:pPr>
            <w:r>
              <w:t>58.35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1.32</w:t>
            </w:r>
          </w:p>
        </w:tc>
        <w:tc>
          <w:tcPr>
            <w:tcW w:w="2551" w:type="dxa"/>
            <w:vAlign w:val="center"/>
          </w:tcPr>
          <w:p>
            <w:pPr>
              <w:pStyle w:val="11"/>
            </w:pPr>
            <w:r>
              <w:t>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57.01</w:t>
            </w:r>
          </w:p>
        </w:tc>
        <w:tc>
          <w:tcPr>
            <w:tcW w:w="2551" w:type="dxa"/>
            <w:vAlign w:val="center"/>
          </w:tcPr>
          <w:p>
            <w:pPr>
              <w:pStyle w:val="11"/>
            </w:pPr>
            <w:r>
              <w:t>57.01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9.89</w:t>
            </w:r>
          </w:p>
        </w:tc>
        <w:tc>
          <w:tcPr>
            <w:tcW w:w="2381" w:type="dxa"/>
            <w:vAlign w:val="center"/>
          </w:tcPr>
          <w:p>
            <w:pPr>
              <w:pStyle w:val="15"/>
            </w:pPr>
            <w:r>
              <w:t>9.89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1" w:type="dxa"/>
            <w:vAlign w:val="center"/>
          </w:tcPr>
          <w:p>
            <w:pPr>
              <w:pStyle w:val="11"/>
            </w:pPr>
            <w:r>
              <w:t>9.53</w:t>
            </w:r>
          </w:p>
        </w:tc>
        <w:tc>
          <w:tcPr>
            <w:tcW w:w="2381" w:type="dxa"/>
            <w:vAlign w:val="center"/>
          </w:tcPr>
          <w:p>
            <w:pPr>
              <w:pStyle w:val="11"/>
            </w:pPr>
            <w:r>
              <w:t>9.53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1" w:type="dxa"/>
            <w:vAlign w:val="center"/>
          </w:tcPr>
          <w:p>
            <w:pPr>
              <w:pStyle w:val="11"/>
            </w:pPr>
            <w:r>
              <w:t>9.53</w:t>
            </w:r>
          </w:p>
        </w:tc>
        <w:tc>
          <w:tcPr>
            <w:tcW w:w="2381" w:type="dxa"/>
            <w:vAlign w:val="center"/>
          </w:tcPr>
          <w:p>
            <w:pPr>
              <w:pStyle w:val="11"/>
            </w:pPr>
            <w:r>
              <w:t>9.53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1" w:type="dxa"/>
            <w:vAlign w:val="center"/>
          </w:tcPr>
          <w:p>
            <w:pPr>
              <w:pStyle w:val="11"/>
            </w:pPr>
            <w:r>
              <w:t>0.36</w:t>
            </w:r>
          </w:p>
        </w:tc>
        <w:tc>
          <w:tcPr>
            <w:tcW w:w="2381" w:type="dxa"/>
            <w:vAlign w:val="center"/>
          </w:tcPr>
          <w:p>
            <w:pPr>
              <w:pStyle w:val="11"/>
            </w:pPr>
            <w:r>
              <w:t>0.36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中国农工民主党沧州市委员会本级2026年单位预算信息公开情况说明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按照《中华人民共和国预算法》、《地方预决算公开操作规程》和《关于进一步推进预算公开工作的实施意见》规定，现将中国农工民主党沧州市委员会本级2026年单位预算公开如下：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中国农工民主党沧州市委员会的主要职责</w:t>
      </w:r>
    </w:p>
    <w:p>
      <w:pPr>
        <w:pStyle w:val="17"/>
      </w:pPr>
      <w:r>
        <w:t>中国农工民主党沧州市委员会包含四个民主党派，其中有：民革沧州市委员会、民盟沧州市委员会、农工党沧州市委员会、九三学社沧州市委员会。</w:t>
      </w:r>
    </w:p>
    <w:p>
      <w:pPr>
        <w:pStyle w:val="17"/>
      </w:pPr>
      <w:r>
        <w:t xml:space="preserve">（一）民革沧州市委员会的主要职责  </w:t>
      </w:r>
    </w:p>
    <w:p>
      <w:pPr>
        <w:pStyle w:val="17"/>
      </w:pPr>
      <w:r>
        <w:t>民革沧州市委员会下设办公室。</w:t>
      </w:r>
    </w:p>
    <w:p>
      <w:pPr>
        <w:pStyle w:val="17"/>
      </w:pPr>
      <w:r>
        <w:t>办公室的职责任务：负责机关内外的联系和综合协调工作，保证机关业务和行政工作的正常运转；负责各种重要文件、工作报告、工作总结的起草工作；负责办理民革沧州市委员会决定、决议的落实及交办的日常工作。</w:t>
      </w:r>
    </w:p>
    <w:p>
      <w:pPr>
        <w:pStyle w:val="17"/>
      </w:pPr>
      <w:r>
        <w:t>（二）民盟沧州市委员会的主要职责</w:t>
      </w:r>
    </w:p>
    <w:p>
      <w:pPr>
        <w:pStyle w:val="17"/>
      </w:pPr>
      <w:r>
        <w:t>民盟沧州市委员会下设办公室。</w:t>
      </w:r>
    </w:p>
    <w:p>
      <w:pPr>
        <w:pStyle w:val="17"/>
      </w:pPr>
      <w:r>
        <w:t>办公室的职责任务：负责机关内外的联系和综合协调工作，保证机关业务和行政工作的正常运转；负责各种重要文件、工作报告、工作总结的起草工作；负责办理民盟沧州市委员会决定、决议的落实及交办的日常工作。</w:t>
      </w:r>
    </w:p>
    <w:p>
      <w:pPr>
        <w:pStyle w:val="17"/>
      </w:pPr>
      <w:r>
        <w:t>（三）农工党沧州市委员会的主要职责</w:t>
      </w:r>
    </w:p>
    <w:p>
      <w:pPr>
        <w:pStyle w:val="17"/>
      </w:pPr>
      <w:r>
        <w:t>农工党沧州市委员会下设办公室。</w:t>
      </w:r>
    </w:p>
    <w:p>
      <w:pPr>
        <w:pStyle w:val="17"/>
      </w:pPr>
      <w:r>
        <w:t>办公室的职责任务：负责机关内外的联系和综合协调工作，保证机关业务和行政工作的正常运转；负责各种重要文件、工作报告、工作总结的起草工作；负责办理农工民主党沧州市委员会决定、决议的落实及交办的日常工作。</w:t>
      </w:r>
    </w:p>
    <w:p>
      <w:pPr>
        <w:pStyle w:val="17"/>
      </w:pPr>
      <w:r>
        <w:t>（四）九三学社沧州市委员会的主要职责</w:t>
      </w:r>
    </w:p>
    <w:p>
      <w:pPr>
        <w:pStyle w:val="17"/>
      </w:pPr>
      <w:r>
        <w:t>九三学社沧州市委员会下设办公室。</w:t>
      </w:r>
    </w:p>
    <w:p>
      <w:pPr>
        <w:pStyle w:val="17"/>
      </w:pPr>
      <w:r>
        <w:t>办公室的职责任务：负责机关内外的联系和综合协调工作，保证机关业务和行政工作的正常运转；负责各种重要文件、工作报告、工作总结的起草工作；负责办理九三学社沧州市委员会决定、决议的落实及交办的日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中国农工民主党沧州市委员会本级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455.73万元，其中：一般公共预算收入455.73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农工民主党沧州市委员会本级年度单位预算中支出预算的总体情况。2026年支出预算455.73万元，其中基本支出380.13万元，包括人员经费328.69万元和日常公用经费51.44万元；项目支出75.60万元，主要为农工党参政议政专项经费18.9万元，民革参政议政经费18.9万元，九三学社参政议政经费18.9万元，民盟参政议政经费18.9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2026年预算收支安排455.73万元，较2025年预算增加0.05万元，其中：基本支出增加32.45万元，主要为人员经费增加29.59万元，日常公用经费增加2.86万元</w:t>
      </w:r>
      <w:r>
        <w:rPr>
          <w:rFonts w:hint="eastAsia"/>
          <w:lang w:eastAsia="zh-CN"/>
        </w:rPr>
        <w:t>。</w:t>
      </w:r>
      <w:r>
        <w:t>项目支出减少32.40万元，主要为农工党参政议政专项经费减少8.1万元，民革参政议政经费减少8.1万元，九三学社参政议政经费减少8.1万元，民盟参政议政经费减少8.1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2026年，我单位机关运行经费共计安排51.44万元，主要用于日常维修、办公用房水电费、办公用房取暖费、办公用房物业管理费等日常运行支出。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9.89万元，其中因公出国（境）费0.00万元；公务用车购置及运维费9.53万元（其中：公务用车购置费为0.00万元，公务用车运维费9.53万元)；公务接待费0.36万元。与2025年相比减少0.16万元，增减变化的主要原因是公务用车运维费减少0.15万元，公务接待费减少0.01万元。</w:t>
      </w:r>
    </w:p>
    <w:p>
      <w:pPr>
        <w:numPr>
          <w:ilvl w:val="0"/>
          <w:numId w:val="1"/>
        </w:numPr>
        <w:spacing w:before="10" w:after="10" w:line="240" w:lineRule="auto"/>
        <w:ind w:firstLine="640"/>
        <w:jc w:val="left"/>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ascii="黑体" w:hAnsi="黑体" w:eastAsia="黑体" w:cs="黑体"/>
          <w:color w:val="000000"/>
          <w:sz w:val="32"/>
        </w:rPr>
        <w:t>单位项目预算安排情况及绩效目标</w:t>
      </w:r>
      <w:bookmarkStart w:id="1" w:name="_GoBack"/>
      <w:bookmarkEnd w:id="1"/>
    </w:p>
    <w:p>
      <w:pPr>
        <w:spacing w:before="0" w:after="0"/>
        <w:jc w:val="left"/>
        <w:outlineLvl w:val="9"/>
      </w:pPr>
      <w:r>
        <w:rPr>
          <w:rFonts w:ascii="方正仿宋_GBK" w:hAnsi="方正仿宋_GBK" w:eastAsia="方正仿宋_GBK" w:cs="方正仿宋_GBK"/>
          <w:b/>
          <w:color w:val="000000"/>
          <w:sz w:val="28"/>
        </w:rPr>
        <w:t>1、2026年九三学社参政议政专项经费绩效目标表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13090026P00014410003U</w:t>
            </w:r>
          </w:p>
        </w:tc>
        <w:tc>
          <w:tcPr>
            <w:tcW w:w="2835" w:type="dxa"/>
            <w:vAlign w:val="center"/>
          </w:tcPr>
          <w:p>
            <w:pPr>
              <w:pStyle w:val="10"/>
            </w:pPr>
            <w:r>
              <w:t>项目名称</w:t>
            </w:r>
          </w:p>
        </w:tc>
        <w:tc>
          <w:tcPr>
            <w:tcW w:w="6095" w:type="dxa"/>
            <w:gridSpan w:val="3"/>
            <w:vAlign w:val="center"/>
          </w:tcPr>
          <w:p>
            <w:pPr>
              <w:pStyle w:val="12"/>
            </w:pPr>
            <w:r>
              <w:t>2026年九三学社参政议政专项经费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18.90</w:t>
            </w:r>
          </w:p>
        </w:tc>
        <w:tc>
          <w:tcPr>
            <w:tcW w:w="2835" w:type="dxa"/>
            <w:vAlign w:val="center"/>
          </w:tcPr>
          <w:p>
            <w:pPr>
              <w:pStyle w:val="10"/>
            </w:pPr>
            <w:r>
              <w:t>其中：财政    资金</w:t>
            </w:r>
          </w:p>
        </w:tc>
        <w:tc>
          <w:tcPr>
            <w:tcW w:w="2551" w:type="dxa"/>
            <w:vAlign w:val="center"/>
          </w:tcPr>
          <w:p>
            <w:pPr>
              <w:pStyle w:val="12"/>
            </w:pPr>
            <w:r>
              <w:t>18.90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增强九三学社组织的凝聚力和参政议政能力，发挥民主党派作用，积极参政议政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1.形成有价值的调研报告为市委、政府提供决策参考，履行参政议政职能</w:t>
            </w:r>
          </w:p>
          <w:p>
            <w:pPr>
              <w:pStyle w:val="12"/>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开展各类活动次数</w:t>
            </w:r>
          </w:p>
          <w:p>
            <w:pPr>
              <w:pStyle w:val="12"/>
            </w:pPr>
          </w:p>
        </w:tc>
        <w:tc>
          <w:tcPr>
            <w:tcW w:w="5386" w:type="dxa"/>
            <w:vAlign w:val="center"/>
          </w:tcPr>
          <w:p>
            <w:pPr>
              <w:pStyle w:val="12"/>
            </w:pPr>
            <w:r>
              <w:t>年度内开展社会服务活动、社员学习培训</w:t>
            </w:r>
          </w:p>
        </w:tc>
        <w:tc>
          <w:tcPr>
            <w:tcW w:w="2268" w:type="dxa"/>
            <w:vAlign w:val="center"/>
          </w:tcPr>
          <w:p>
            <w:pPr>
              <w:pStyle w:val="12"/>
            </w:pPr>
            <w:r>
              <w:t>≥10次</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调研报告数量</w:t>
            </w:r>
          </w:p>
        </w:tc>
        <w:tc>
          <w:tcPr>
            <w:tcW w:w="5386" w:type="dxa"/>
            <w:vAlign w:val="center"/>
          </w:tcPr>
          <w:p>
            <w:pPr>
              <w:pStyle w:val="12"/>
            </w:pPr>
            <w:r>
              <w:t>年度内形成高质量调研报告数量</w:t>
            </w:r>
          </w:p>
        </w:tc>
        <w:tc>
          <w:tcPr>
            <w:tcW w:w="2268" w:type="dxa"/>
            <w:vAlign w:val="center"/>
          </w:tcPr>
          <w:p>
            <w:pPr>
              <w:pStyle w:val="12"/>
            </w:pPr>
            <w:r>
              <w:t>≥5次</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本职工作</w:t>
            </w:r>
          </w:p>
        </w:tc>
        <w:tc>
          <w:tcPr>
            <w:tcW w:w="5386" w:type="dxa"/>
            <w:vAlign w:val="center"/>
          </w:tcPr>
          <w:p>
            <w:pPr>
              <w:pStyle w:val="12"/>
            </w:pPr>
            <w:r>
              <w:t>高效开展本职工作，保证机关事务正常运转</w:t>
            </w:r>
          </w:p>
        </w:tc>
        <w:tc>
          <w:tcPr>
            <w:tcW w:w="2268" w:type="dxa"/>
            <w:vAlign w:val="center"/>
          </w:tcPr>
          <w:p>
            <w:pPr>
              <w:pStyle w:val="12"/>
            </w:pPr>
            <w:r>
              <w:t>≥95%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及时完成各项工作</w:t>
            </w:r>
          </w:p>
        </w:tc>
        <w:tc>
          <w:tcPr>
            <w:tcW w:w="2268" w:type="dxa"/>
            <w:vAlign w:val="center"/>
          </w:tcPr>
          <w:p>
            <w:pPr>
              <w:pStyle w:val="12"/>
            </w:pPr>
            <w:r>
              <w:t>≤1年</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≤21.6万元</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履行社会责任</w:t>
            </w:r>
          </w:p>
        </w:tc>
        <w:tc>
          <w:tcPr>
            <w:tcW w:w="5386" w:type="dxa"/>
            <w:vAlign w:val="center"/>
          </w:tcPr>
          <w:p>
            <w:pPr>
              <w:pStyle w:val="12"/>
            </w:pPr>
            <w:r>
              <w:t>推进社会服务工作</w:t>
            </w:r>
          </w:p>
        </w:tc>
        <w:tc>
          <w:tcPr>
            <w:tcW w:w="2268" w:type="dxa"/>
            <w:vAlign w:val="center"/>
          </w:tcPr>
          <w:p>
            <w:pPr>
              <w:pStyle w:val="12"/>
            </w:pPr>
            <w:r>
              <w:t>≥95%</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工作计划</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2、2026年民革参政议政专项经费绩效目标表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13090026P000146100037</w:t>
            </w:r>
          </w:p>
        </w:tc>
        <w:tc>
          <w:tcPr>
            <w:tcW w:w="2835" w:type="dxa"/>
            <w:vAlign w:val="center"/>
          </w:tcPr>
          <w:p>
            <w:pPr>
              <w:pStyle w:val="10"/>
            </w:pPr>
            <w:r>
              <w:t>项目名称</w:t>
            </w:r>
          </w:p>
        </w:tc>
        <w:tc>
          <w:tcPr>
            <w:tcW w:w="6095" w:type="dxa"/>
            <w:gridSpan w:val="3"/>
            <w:vAlign w:val="center"/>
          </w:tcPr>
          <w:p>
            <w:pPr>
              <w:pStyle w:val="12"/>
            </w:pPr>
            <w:r>
              <w:t>2026年民革参政议政专项经费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18.90</w:t>
            </w:r>
          </w:p>
        </w:tc>
        <w:tc>
          <w:tcPr>
            <w:tcW w:w="2835" w:type="dxa"/>
            <w:vAlign w:val="center"/>
          </w:tcPr>
          <w:p>
            <w:pPr>
              <w:pStyle w:val="10"/>
            </w:pPr>
            <w:r>
              <w:t>其中：财政    资金</w:t>
            </w:r>
          </w:p>
        </w:tc>
        <w:tc>
          <w:tcPr>
            <w:tcW w:w="2551" w:type="dxa"/>
            <w:vAlign w:val="center"/>
          </w:tcPr>
          <w:p>
            <w:pPr>
              <w:pStyle w:val="12"/>
            </w:pPr>
            <w:r>
              <w:t>18.90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增强民革组织的凝聚力和参政议政能力，发挥民主党派作用，积极参政议政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1.形成有价值的调研报告为市委、政府提供决策参考，履行参政议政职能</w:t>
            </w:r>
          </w:p>
          <w:p>
            <w:pPr>
              <w:pStyle w:val="12"/>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开展各类活动次数</w:t>
            </w:r>
          </w:p>
        </w:tc>
        <w:tc>
          <w:tcPr>
            <w:tcW w:w="5386" w:type="dxa"/>
            <w:vAlign w:val="center"/>
          </w:tcPr>
          <w:p>
            <w:pPr>
              <w:pStyle w:val="12"/>
            </w:pPr>
            <w:r>
              <w:t>年度内开展社会服务活动、党员学习培训</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调研报告数量</w:t>
            </w:r>
          </w:p>
        </w:tc>
        <w:tc>
          <w:tcPr>
            <w:tcW w:w="5386" w:type="dxa"/>
            <w:vAlign w:val="center"/>
          </w:tcPr>
          <w:p>
            <w:pPr>
              <w:pStyle w:val="12"/>
            </w:pPr>
            <w:r>
              <w:t>年度内形成高质量调研报告数量</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本职工作</w:t>
            </w:r>
          </w:p>
        </w:tc>
        <w:tc>
          <w:tcPr>
            <w:tcW w:w="5386" w:type="dxa"/>
            <w:vAlign w:val="center"/>
          </w:tcPr>
          <w:p>
            <w:pPr>
              <w:pStyle w:val="12"/>
            </w:pPr>
            <w:r>
              <w:t>高效开展本职工作，保证机关事务正常运转</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及时完成各项工作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≤18.9万元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履行社会责任</w:t>
            </w:r>
          </w:p>
        </w:tc>
        <w:tc>
          <w:tcPr>
            <w:tcW w:w="5386" w:type="dxa"/>
            <w:vAlign w:val="center"/>
          </w:tcPr>
          <w:p>
            <w:pPr>
              <w:pStyle w:val="12"/>
            </w:pPr>
            <w:r>
              <w:t>推进社会服务工作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3、2026年民盟参政议政专项经费绩效目标表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13090026P00014810003J</w:t>
            </w:r>
          </w:p>
        </w:tc>
        <w:tc>
          <w:tcPr>
            <w:tcW w:w="2835" w:type="dxa"/>
            <w:vAlign w:val="center"/>
          </w:tcPr>
          <w:p>
            <w:pPr>
              <w:pStyle w:val="10"/>
            </w:pPr>
            <w:r>
              <w:t>项目名称</w:t>
            </w:r>
          </w:p>
        </w:tc>
        <w:tc>
          <w:tcPr>
            <w:tcW w:w="6095" w:type="dxa"/>
            <w:gridSpan w:val="3"/>
            <w:vAlign w:val="center"/>
          </w:tcPr>
          <w:p>
            <w:pPr>
              <w:pStyle w:val="12"/>
            </w:pPr>
            <w:r>
              <w:t>2026年民盟参政议政专项经费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18.90</w:t>
            </w:r>
          </w:p>
        </w:tc>
        <w:tc>
          <w:tcPr>
            <w:tcW w:w="2835" w:type="dxa"/>
            <w:vAlign w:val="center"/>
          </w:tcPr>
          <w:p>
            <w:pPr>
              <w:pStyle w:val="10"/>
            </w:pPr>
            <w:r>
              <w:t>其中：财政    资金</w:t>
            </w:r>
          </w:p>
        </w:tc>
        <w:tc>
          <w:tcPr>
            <w:tcW w:w="2551" w:type="dxa"/>
            <w:vAlign w:val="center"/>
          </w:tcPr>
          <w:p>
            <w:pPr>
              <w:pStyle w:val="12"/>
            </w:pPr>
            <w:r>
              <w:t>18.90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增强民盟组织的凝聚力和参政议政能力，发挥民主党派作用，积极参政议政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1.形成有价值的调研报告为市委、政府提供决策参考，履行参政议政职能</w:t>
            </w:r>
          </w:p>
          <w:p>
            <w:pPr>
              <w:pStyle w:val="12"/>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开展各类活动次数</w:t>
            </w:r>
          </w:p>
        </w:tc>
        <w:tc>
          <w:tcPr>
            <w:tcW w:w="5386" w:type="dxa"/>
            <w:vAlign w:val="center"/>
          </w:tcPr>
          <w:p>
            <w:pPr>
              <w:pStyle w:val="12"/>
            </w:pPr>
            <w:r>
              <w:t>年度内开展社会服务活动、党员学习培训</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调研报告数量</w:t>
            </w:r>
          </w:p>
        </w:tc>
        <w:tc>
          <w:tcPr>
            <w:tcW w:w="5386" w:type="dxa"/>
            <w:vAlign w:val="center"/>
          </w:tcPr>
          <w:p>
            <w:pPr>
              <w:pStyle w:val="12"/>
            </w:pPr>
            <w:r>
              <w:t>年度内形成高质量调研报告数量</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本职工作</w:t>
            </w:r>
          </w:p>
        </w:tc>
        <w:tc>
          <w:tcPr>
            <w:tcW w:w="5386" w:type="dxa"/>
            <w:vAlign w:val="center"/>
          </w:tcPr>
          <w:p>
            <w:pPr>
              <w:pStyle w:val="12"/>
            </w:pPr>
            <w:r>
              <w:t>高效开展本职工作，保证机关事务正常运转</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及时完成各项工作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≥18.9万元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履行社会责任</w:t>
            </w:r>
          </w:p>
        </w:tc>
        <w:tc>
          <w:tcPr>
            <w:tcW w:w="5386" w:type="dxa"/>
            <w:vAlign w:val="center"/>
          </w:tcPr>
          <w:p>
            <w:pPr>
              <w:pStyle w:val="12"/>
            </w:pPr>
            <w:r>
              <w:t>推进社会服务工作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4、2026年农工党参政议政专项经费绩效目标表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13090026P00014210003G</w:t>
            </w:r>
          </w:p>
        </w:tc>
        <w:tc>
          <w:tcPr>
            <w:tcW w:w="2835" w:type="dxa"/>
            <w:vAlign w:val="center"/>
          </w:tcPr>
          <w:p>
            <w:pPr>
              <w:pStyle w:val="10"/>
            </w:pPr>
            <w:r>
              <w:t>项目名称</w:t>
            </w:r>
          </w:p>
        </w:tc>
        <w:tc>
          <w:tcPr>
            <w:tcW w:w="6095" w:type="dxa"/>
            <w:gridSpan w:val="3"/>
            <w:vAlign w:val="center"/>
          </w:tcPr>
          <w:p>
            <w:pPr>
              <w:pStyle w:val="12"/>
            </w:pPr>
            <w:r>
              <w:t>2026年农工党参政议政专项经费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18.90</w:t>
            </w:r>
          </w:p>
        </w:tc>
        <w:tc>
          <w:tcPr>
            <w:tcW w:w="2835" w:type="dxa"/>
            <w:vAlign w:val="center"/>
          </w:tcPr>
          <w:p>
            <w:pPr>
              <w:pStyle w:val="10"/>
            </w:pPr>
            <w:r>
              <w:t>其中：财政    资金</w:t>
            </w:r>
          </w:p>
        </w:tc>
        <w:tc>
          <w:tcPr>
            <w:tcW w:w="2551" w:type="dxa"/>
            <w:vAlign w:val="center"/>
          </w:tcPr>
          <w:p>
            <w:pPr>
              <w:pStyle w:val="12"/>
            </w:pPr>
            <w:r>
              <w:t>18.90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增强农工党组织的凝聚力和参政议政能力，发挥民主党派作用，积极参政议政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1.形成有价值的调研报告为市委、政府提供决策参考，履行参政议政职能</w:t>
            </w:r>
          </w:p>
          <w:p>
            <w:pPr>
              <w:pStyle w:val="12"/>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开展各类活动次数</w:t>
            </w:r>
          </w:p>
        </w:tc>
        <w:tc>
          <w:tcPr>
            <w:tcW w:w="5386" w:type="dxa"/>
            <w:vAlign w:val="center"/>
          </w:tcPr>
          <w:p>
            <w:pPr>
              <w:pStyle w:val="12"/>
            </w:pPr>
            <w:r>
              <w:t>年度内开展社会服务活动、党员学习培训</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调研报告数量</w:t>
            </w:r>
          </w:p>
        </w:tc>
        <w:tc>
          <w:tcPr>
            <w:tcW w:w="5386" w:type="dxa"/>
            <w:vAlign w:val="center"/>
          </w:tcPr>
          <w:p>
            <w:pPr>
              <w:pStyle w:val="12"/>
            </w:pPr>
            <w:r>
              <w:t>年度内形成高质量调研报告数量</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本职工作</w:t>
            </w:r>
          </w:p>
        </w:tc>
        <w:tc>
          <w:tcPr>
            <w:tcW w:w="5386" w:type="dxa"/>
            <w:vAlign w:val="center"/>
          </w:tcPr>
          <w:p>
            <w:pPr>
              <w:pStyle w:val="12"/>
            </w:pPr>
            <w:r>
              <w:t>高效开展本职工作，保证机关事务正常运转</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及时完成各项工作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项目所需资金</w:t>
            </w:r>
          </w:p>
        </w:tc>
        <w:tc>
          <w:tcPr>
            <w:tcW w:w="2268" w:type="dxa"/>
            <w:vAlign w:val="center"/>
          </w:tcPr>
          <w:p>
            <w:pPr>
              <w:pStyle w:val="12"/>
            </w:pPr>
            <w:r>
              <w:t>≥18.9万元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履行社会责任</w:t>
            </w:r>
          </w:p>
        </w:tc>
        <w:tc>
          <w:tcPr>
            <w:tcW w:w="5386" w:type="dxa"/>
            <w:vAlign w:val="center"/>
          </w:tcPr>
          <w:p>
            <w:pPr>
              <w:pStyle w:val="12"/>
            </w:pPr>
            <w:r>
              <w:t>推进社会服务工作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办理单位满意度</w:t>
            </w:r>
          </w:p>
        </w:tc>
        <w:tc>
          <w:tcPr>
            <w:tcW w:w="5386" w:type="dxa"/>
            <w:vAlign w:val="center"/>
          </w:tcPr>
          <w:p>
            <w:pPr>
              <w:pStyle w:val="12"/>
            </w:pPr>
            <w:r>
              <w:t>办理单位满意度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中国农工民主党沧州市委员会本级小计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0.40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公用经费2024项目（一）</w:t>
            </w:r>
          </w:p>
        </w:tc>
        <w:tc>
          <w:tcPr>
            <w:tcW w:w="964" w:type="dxa"/>
            <w:vAlign w:val="center"/>
          </w:tcPr>
          <w:p>
            <w:pPr>
              <w:pStyle w:val="11"/>
            </w:pPr>
            <w:r>
              <w:t>31.34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中国农工民主党沧州市委员会本级上年末固定资产金额为93.36万元（详见下表）。本年度拟购置固定资产总额为0.00万元，已按要求列入政府采购预算，详见政府采购预算表。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716001中国农工民主党沧州市委员会本级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76.84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102</w:t>
            </w:r>
          </w:p>
        </w:tc>
        <w:tc>
          <w:tcPr>
            <w:tcW w:w="2835" w:type="dxa"/>
            <w:vAlign w:val="center"/>
          </w:tcPr>
          <w:p>
            <w:pPr>
              <w:pStyle w:val="11"/>
            </w:pPr>
            <w:r>
              <w:t>16.52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64AEC"/>
    <w:multiLevelType w:val="singleLevel"/>
    <w:tmpl w:val="04864A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E62E9"/>
    <w:rsid w:val="47AF5023"/>
    <w:rsid w:val="6FB57A49"/>
    <w:rsid w:val="7061195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TotalTime>5</TotalTime>
  <ScaleCrop>false</ScaleCrop>
  <LinksUpToDate>false</LinksUpToDate>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2026-02-27T16:02:00Z</dcterms:created>
  <dc:creator>Administrator</dc:creator>
  <cp:lastModifiedBy>LENOVO-ZMQ</cp:lastModifiedBy>
  <dcterms:modified xsi:type="dcterms:W3CDTF">2026-02-28T01:25:12Z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FD151E7827624F12A25390912C5EF955</vt:lpwstr>
  </property>
</Properties>
</file>